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w:t>
      </w:r>
    </w:p>
    <w:p>
      <w:pPr>
        <w:spacing w:line="360" w:lineRule="auto" w:after="160"/>
      </w:pPr>
      <w:r>
        <w:t>一、单项选择题</w:t>
      </w:r>
    </w:p>
    <w:p>
      <w:pPr>
        <w:spacing w:line="360" w:lineRule="auto" w:after="40"/>
      </w:pPr>
      <w:r>
        <w:t>1. 在反洗钱调查的背景下,关于数据隐私的哪项陈述最为准确？ ( )</w:t>
      </w:r>
    </w:p>
    <w:p>
      <w:pPr>
        <w:spacing w:line="360" w:lineRule="auto" w:after="20"/>
        <w:ind w:firstLine="283"/>
      </w:pPr>
      <w:r>
        <w:t>A. 组织在向相关金融情报机构(FIU)提交可疑活动报告之前,必须证明客户已同意信息共享.</w:t>
      </w:r>
    </w:p>
    <w:p>
      <w:pPr>
        <w:spacing w:line="360" w:lineRule="auto" w:after="20"/>
        <w:ind w:firstLine="283"/>
      </w:pPr>
      <w:r>
        <w:t>B. 任何成为可疑报告对象的客户均有权要求对其个人数据进行删除.</w:t>
      </w:r>
    </w:p>
    <w:p>
      <w:pPr>
        <w:spacing w:line="360" w:lineRule="auto" w:after="20"/>
        <w:ind w:firstLine="283"/>
      </w:pPr>
      <w:r>
        <w:t>C. 金融情报机构应记录可疑活动报告中所包含的个人数据与其他机构共享的目的.</w:t>
      </w:r>
    </w:p>
    <w:p>
      <w:pPr>
        <w:spacing w:line="360" w:lineRule="auto" w:after="20"/>
        <w:ind w:firstLine="283"/>
      </w:pPr>
      <w:r>
        <w:t>D. 数据隐私法禁止金融机构在所有司法管辖区为反洗钱调查目的而共享信息.</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结合GDPR透明原则与FIU职能，判断信息共享中的合规要求</w:t>
      </w:r>
    </w:p>
    <w:p>
      <w:pPr>
        <w:spacing w:before="120" w:after="40"/>
      </w:pPr>
      <w:r>
        <w:rPr>
          <w:b/>
          <w:sz w:val="21"/>
          <w:shd w:fill="D6E4F0" w:val="clear"/>
        </w:rPr>
        <w:t>核心解析</w:t>
      </w:r>
    </w:p>
    <w:p>
      <w:pPr>
        <w:spacing w:line="360" w:lineRule="auto" w:after="40"/>
        <w:ind w:firstLine="420"/>
      </w:pPr>
      <w:r>
        <w:t>这道题的核心在于理解数据隐私法（如GDPR《通用数据保护条例》）中的“透明度原则”与反洗钱（AML）合规之间的平衡。GDPR要求组织告知数据主体“为什么以及如何使用其个人数据”</w:t>
      </w:r>
      <w:r>
        <w:rPr>
          <w:sz w:val="15"/>
          <w:vertAlign w:val="superscript"/>
        </w:rPr>
        <w:t>P213</w:t>
      </w:r>
      <w:r>
        <w:t>，这也就是所谓的知情权。将这个原则应用到FIU（金融情报机构）的工作场景中，埃格蒙特集团（Egmont Group）明确指出了FIU的关键职能——“信息共享，使FIU能够共享可疑金融活动的情报”</w:t>
      </w:r>
      <w:r>
        <w:rPr>
          <w:sz w:val="15"/>
          <w:vertAlign w:val="superscript"/>
        </w:rPr>
        <w:t>P167</w:t>
      </w:r>
      <w:r>
        <w:t>。综合这两个考点：既然FIU收集并共享了个人数据，那么在“透明度”的法律要求下，自然需要记录下这些数据被共享出去的“目的”（比如是用于执法调查、可疑分析还是国际合作）。反之，如果不记录目的，就无法向数据主体或其监管机构解释处理数据的合法性。因此，C项将“记录共享目的”认定为FIU在反洗钱调查中处理数据隐私最准确的描述。</w:t>
      </w:r>
    </w:p>
    <w:p>
      <w:pPr>
        <w:spacing w:before="120" w:after="40"/>
      </w:pPr>
      <w:r>
        <w:rPr>
          <w:b/>
          <w:sz w:val="21"/>
          <w:shd w:fill="D6E4F0" w:val="clear"/>
        </w:rPr>
        <w:t>教材原句</w:t>
      </w:r>
    </w:p>
    <w:p>
      <w:pPr>
        <w:spacing w:line="360" w:lineRule="auto" w:after="40"/>
        <w:ind w:firstLine="420"/>
      </w:pPr>
      <w:r>
        <w:t>"The GDPR requires organizations to inform data subjects about why and how the organization will use their personal data."</w:t>
      </w:r>
    </w:p>
    <w:p>
      <w:pPr>
        <w:spacing w:before="120" w:after="40"/>
      </w:pPr>
      <w:r>
        <w:rPr>
          <w:b/>
          <w:sz w:val="21"/>
          <w:shd w:fill="D6E4F0" w:val="clear"/>
        </w:rPr>
        <w:t>A项错误</w:t>
      </w:r>
    </w:p>
    <w:p>
      <w:pPr>
        <w:spacing w:line="360" w:lineRule="auto" w:after="40"/>
        <w:ind w:firstLine="420"/>
      </w:pPr>
      <w:r>
        <w:t>选项A涉及“客户同意”作为共享信息的前提。在反洗钱调查中，教材强调存在“泄密罪”（tipping off），即法律严禁向客户透露其被怀疑或已提交可疑报告的情况</w:t>
      </w:r>
      <w:r>
        <w:rPr>
          <w:sz w:val="15"/>
          <w:vertAlign w:val="superscript"/>
        </w:rPr>
        <w:t>P213</w:t>
      </w:r>
      <w:r>
        <w:t>，获取客户同意会直接违反这一保密义务。因此，合规路径更依赖“法定义务”而非“客户同意”。</w:t>
      </w:r>
    </w:p>
    <w:p>
      <w:pPr>
        <w:spacing w:before="120" w:after="40"/>
      </w:pPr>
      <w:r>
        <w:rPr>
          <w:b/>
          <w:sz w:val="21"/>
          <w:shd w:fill="D6E4F0" w:val="clear"/>
        </w:rPr>
        <w:t>B项错误：选项B赋予所有可疑报告对象的“绝对删除权”。虽然GDPR确实赋予了数据主体删除权（P211），但教材也特别指出</w:t>
      </w:r>
    </w:p>
    <w:p>
      <w:pPr>
        <w:spacing w:line="360" w:lineRule="auto" w:after="40"/>
        <w:ind w:firstLine="420"/>
      </w:pPr>
      <w:r>
        <w:t>“数据主体权利并非绝对”</w:t>
      </w:r>
      <w:r>
        <w:rPr>
          <w:sz w:val="15"/>
          <w:vertAlign w:val="superscript"/>
        </w:rPr>
        <w:t>P213</w:t>
      </w:r>
      <w:r>
        <w:t>。在反洗钱语境下，保留可疑交易报告（STR）数据是法定义务，允许随意删除会严重妨碍司法追查和反洗钱工作。相比之下，接受一定程度的隐私限制（如记录目的而非删除）比赋予绝对删除权更符合反洗钱法的要求。</w:t>
      </w:r>
    </w:p>
    <w:p>
      <w:pPr>
        <w:spacing w:before="120" w:after="40"/>
      </w:pPr>
      <w:r>
        <w:rPr>
          <w:b/>
          <w:sz w:val="21"/>
          <w:shd w:fill="D6E4F0" w:val="clear"/>
        </w:rPr>
        <w:t>D项错误</w:t>
      </w:r>
    </w:p>
    <w:p>
      <w:pPr>
        <w:spacing w:line="360" w:lineRule="auto" w:after="40"/>
        <w:ind w:firstLine="420"/>
      </w:pPr>
      <w:r>
        <w:t>选项D使用了“在所有司法管辖区”（in all jurisdictions）这样绝对化的表述。实际上，国际标准（如FATF建议9）仅要求保密法“不阻碍建议实施”</w:t>
      </w:r>
      <w:r>
        <w:rPr>
          <w:sz w:val="15"/>
          <w:vertAlign w:val="superscript"/>
        </w:rPr>
        <w:t>P148</w:t>
      </w:r>
      <w:r>
        <w:t>，且多个司法管辖区（如美国P239）设立了允许为反洗钱目的共享信息的法律框架。因此，数据隐私法并非绝对禁止共享，而是寻求合规下的共享。C项描述的做法比D项的绝对禁止更吻合全球反洗钱实践。</w:t>
      </w:r>
    </w:p>
    <w:p>
      <w:pPr>
        <w:spacing w:before="120" w:after="40"/>
      </w:pPr>
      <w:r>
        <w:rPr>
          <w:b/>
          <w:sz w:val="21"/>
          <w:shd w:fill="D6E4F0" w:val="clear"/>
        </w:rPr>
        <w:t>易错提醒</w:t>
      </w:r>
    </w:p>
    <w:p>
      <w:pPr>
        <w:spacing w:line="360" w:lineRule="auto" w:after="40"/>
        <w:ind w:firstLine="420"/>
      </w:pPr>
      <w:r>
        <w:t>容易将一般隐私权（如GDPR删除权）与反洗钱义务对立起来，或者认为洗钱调查可以凌驾于所有隐私保护之上。实际上，二者是平衡关系：机构必须遵守法定的反洗钱报告义务，同时也必须遵守隐私法中的程序性要求（如告知目的）。关键点是——数据主体的权利不是绝对的，法律的豁免通常集中在程序透明而非绝对删除或完全禁止共享上。</w:t>
      </w:r>
    </w:p>
    <w:p>
      <w:pPr>
        <w:spacing w:line="360" w:lineRule="auto" w:after="120"/>
      </w:pPr>
      <w:r/>
    </w:p>
    <w:p>
      <w:pPr>
        <w:spacing w:line="360" w:lineRule="auto" w:after="40"/>
      </w:pPr>
      <w:r>
        <w:t>2. 为协助调查一起跨境洗钱案件，作为埃格蒙特集团成员的金融情报机构(FIU)可以: ( )</w:t>
      </w:r>
    </w:p>
    <w:p>
      <w:pPr>
        <w:spacing w:line="360" w:lineRule="auto" w:after="20"/>
        <w:ind w:firstLine="283"/>
      </w:pPr>
      <w:r>
        <w:t>A. 直接与另一国的金融机构联系并分享与调查相关的信息</w:t>
      </w:r>
    </w:p>
    <w:p>
      <w:pPr>
        <w:spacing w:line="360" w:lineRule="auto" w:after="20"/>
        <w:ind w:firstLine="283"/>
      </w:pPr>
      <w:r>
        <w:t>B. 直接与其他国家的金融情报机构(FIU)联系并分享与调查相关的信息</w:t>
      </w:r>
    </w:p>
    <w:p>
      <w:pPr>
        <w:spacing w:line="360" w:lineRule="auto" w:after="20"/>
        <w:ind w:firstLine="283"/>
      </w:pPr>
      <w:r>
        <w:t>C. 授权其执法调查人员协助另一国正在进行的重大调查</w:t>
      </w:r>
    </w:p>
    <w:p>
      <w:pPr>
        <w:spacing w:line="360" w:lineRule="auto" w:after="20"/>
        <w:ind w:firstLine="283"/>
      </w:pPr>
      <w:r>
        <w:t>D. 协助另一国执法部门进行重大在办案件的调查</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本题需依据教材规则/定义判断各选项与题干条件的对应关系。</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A项错误</w:t>
      </w:r>
    </w:p>
    <w:p>
      <w:pPr>
        <w:spacing w:line="360" w:lineRule="auto" w:after="40"/>
        <w:ind w:firstLine="420"/>
      </w:pPr>
      <w:r>
        <w:t>教材指出“埃格蒙特集团是各国金融情报机构的国际网络，促进合作与情报共享以打击洗钱、恐怖融资和其他金融犯罪”、“根据FATF标准和埃格蒙特集团原则，FIU应自发或应请求相互传播金融情报”、“埃格蒙特集团2013年文件概述FIU在国际合作与信息交换中的运作”，而“直接与另一国的金融机构联系并分享与调查相关的信息”与此不符。</w:t>
      </w:r>
    </w:p>
    <w:p>
      <w:pPr>
        <w:spacing w:before="120" w:after="40"/>
      </w:pPr>
      <w:r>
        <w:rPr>
          <w:b/>
          <w:sz w:val="21"/>
          <w:shd w:fill="D6E4F0" w:val="clear"/>
        </w:rPr>
        <w:t>C项错误</w:t>
      </w:r>
    </w:p>
    <w:p>
      <w:pPr>
        <w:spacing w:line="360" w:lineRule="auto" w:after="40"/>
        <w:ind w:firstLine="420"/>
      </w:pPr>
      <w:r>
        <w:t>教材指出“协作促进金融情报机构、执法机构与国际组织之间的合作”、“国家金融情报机构接收、分析和传播金融情报”、“埃格蒙特集团2013年文件概述FIU在国际合作与信息交换中的运作”，而“授权其执法调查人员协助另一国正在进行的重大调查”与此不符。</w:t>
      </w:r>
    </w:p>
    <w:p>
      <w:pPr>
        <w:spacing w:before="120" w:after="40"/>
      </w:pPr>
      <w:r>
        <w:rPr>
          <w:b/>
          <w:sz w:val="21"/>
          <w:shd w:fill="D6E4F0" w:val="clear"/>
        </w:rPr>
        <w:t>D项错误</w:t>
      </w:r>
    </w:p>
    <w:p>
      <w:pPr>
        <w:spacing w:line="360" w:lineRule="auto" w:after="40"/>
        <w:ind w:firstLine="420"/>
      </w:pPr>
      <w:r>
        <w:t>教材指出“FIU可将跨境数据纳入操作分析并传播给执法部门采取行动”、“根据FATF标准和埃格蒙特集团原则，FIU应自发或应请求相互传播金融情报”、“埃格蒙特集团2013年文件概述FIU在国际合作与信息交换中的运作”，而“协助另一国执法部门进行重大在办案件的调查”与此不符。</w:t>
      </w:r>
    </w:p>
    <w:p>
      <w:pPr>
        <w:spacing w:line="360" w:lineRule="auto" w:after="120"/>
      </w:pPr>
      <w:r/>
    </w:p>
    <w:p>
      <w:pPr>
        <w:spacing w:line="360" w:lineRule="auto" w:after="40"/>
      </w:pPr>
      <w:r>
        <w:t>3. 该国金融情报机构(FIU)收到一份可疑活动报告(SAR),其中涉及大量可疑资金转移,不仅在其本国境内,还涉及外国.为确定是否需将此事移交本国检察机关处理,还需从外国获取更多信息.在该情景中,以下哪个陈述是正确的？ ( )</w:t>
      </w:r>
    </w:p>
    <w:p>
      <w:pPr>
        <w:spacing w:line="360" w:lineRule="auto" w:after="20"/>
        <w:ind w:firstLine="283"/>
      </w:pPr>
      <w:r>
        <w:t>A. 从外国获取信息违反了国际数据保护法.</w:t>
      </w:r>
    </w:p>
    <w:p>
      <w:pPr>
        <w:spacing w:line="360" w:lineRule="auto" w:after="20"/>
        <w:ind w:firstLine="283"/>
      </w:pPr>
      <w:r>
        <w:t>B. 国家主权意味着信息不能从外国获取</w:t>
      </w:r>
    </w:p>
    <w:p>
      <w:pPr>
        <w:spacing w:line="360" w:lineRule="auto" w:after="20"/>
        <w:ind w:firstLine="283"/>
      </w:pPr>
      <w:r>
        <w:t>C. 任何与洗钱有关的信息,均可随时从任何组织接收,不受司法管辖区的限制.</w:t>
      </w:r>
    </w:p>
    <w:p>
      <w:pPr>
        <w:spacing w:line="360" w:lineRule="auto" w:after="20"/>
        <w:ind w:firstLine="283"/>
      </w:pPr>
      <w:r>
        <w:t>D. 埃格蒙特集团的成员国之间可以相互请求信息协助.</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识别FIU跨境信息共享机制——埃格蒙特集团</w:t>
      </w:r>
    </w:p>
    <w:p>
      <w:pPr>
        <w:spacing w:before="120" w:after="40"/>
      </w:pPr>
      <w:r>
        <w:rPr>
          <w:b/>
          <w:sz w:val="21"/>
          <w:shd w:fill="D6E4F0" w:val="clear"/>
        </w:rPr>
        <w:t>核心解析</w:t>
      </w:r>
    </w:p>
    <w:p>
      <w:pPr>
        <w:spacing w:line="360" w:lineRule="auto" w:after="40"/>
        <w:ind w:firstLine="420"/>
      </w:pPr>
      <w:r>
        <w:t>埃格蒙特集团是各国金融情报机构的国际网络，促进成员间合作与情报共享以打击洗钱、恐怖融资和其他金融犯罪</w:t>
      </w:r>
      <w:r>
        <w:rPr>
          <w:sz w:val="15"/>
          <w:vertAlign w:val="superscript"/>
        </w:rPr>
        <w:t>P167</w:t>
      </w:r>
      <w:r>
        <w:t>。根据FATF标准和埃格蒙特集团原则，FIU应自发或应请求相互传播金融情报</w:t>
      </w:r>
      <w:r>
        <w:rPr>
          <w:sz w:val="15"/>
          <w:vertAlign w:val="superscript"/>
        </w:rPr>
        <w:t>P231</w:t>
      </w:r>
      <w:r>
        <w:t>。题干所述FIU需从外国获取更多信息以决定是否移交起诉，正是埃格蒙特集团成员国之间请求信息协助的典型运作场景，因此D正确。</w:t>
      </w:r>
    </w:p>
    <w:p>
      <w:pPr>
        <w:spacing w:before="120" w:after="40"/>
      </w:pPr>
      <w:r>
        <w:rPr>
          <w:b/>
          <w:sz w:val="21"/>
          <w:shd w:fill="D6E4F0" w:val="clear"/>
        </w:rPr>
        <w:t>教材原句</w:t>
      </w:r>
    </w:p>
    <w:p>
      <w:pPr>
        <w:spacing w:line="360" w:lineRule="auto" w:after="40"/>
        <w:ind w:firstLine="420"/>
      </w:pPr>
      <w:r>
        <w:t>"The Egmont Group is an international network of national FIUs that facilitates cooperation and intelligence sharing among its members to combat money laundering, terrorist financing, and other financial crimes."</w:t>
      </w:r>
    </w:p>
    <w:p>
      <w:pPr>
        <w:spacing w:before="120" w:after="40"/>
      </w:pPr>
      <w:r>
        <w:rPr>
          <w:b/>
          <w:sz w:val="21"/>
          <w:shd w:fill="D6E4F0" w:val="clear"/>
        </w:rPr>
        <w:t>A项错误</w:t>
      </w:r>
    </w:p>
    <w:p>
      <w:pPr>
        <w:spacing w:line="360" w:lineRule="auto" w:after="40"/>
        <w:ind w:firstLine="420"/>
      </w:pPr>
      <w:r>
        <w:t>教材指出银行保密和数据保护法律可能对信息共享构成挑战</w:t>
      </w:r>
      <w:r>
        <w:rPr>
          <w:sz w:val="15"/>
          <w:vertAlign w:val="superscript"/>
        </w:rPr>
        <w:t>P194</w:t>
      </w:r>
      <w:r>
        <w:t>，但并未规定从外国获取信息一律违反国际数据保护法；题干场景下，FIU通过埃格蒙特框架请求协助的机制更直接匹配信息获取需求，A的说法绝对化且匹配度不如D。</w:t>
      </w:r>
    </w:p>
    <w:p>
      <w:pPr>
        <w:spacing w:before="120" w:after="40"/>
      </w:pPr>
      <w:r>
        <w:rPr>
          <w:b/>
          <w:sz w:val="21"/>
          <w:shd w:fill="D6E4F0" w:val="clear"/>
        </w:rPr>
        <w:t>B项错误</w:t>
      </w:r>
    </w:p>
    <w:p>
      <w:pPr>
        <w:spacing w:line="360" w:lineRule="auto" w:after="40"/>
        <w:ind w:firstLine="420"/>
      </w:pPr>
      <w:r>
        <w:t>教材明确要求各辖区为洗钱案件提供广泛的司法协助</w:t>
      </w:r>
      <w:r>
        <w:rPr>
          <w:sz w:val="15"/>
          <w:vertAlign w:val="superscript"/>
        </w:rPr>
        <w:t>P149</w:t>
      </w:r>
      <w:r>
        <w:t>，可见国家主权并不排斥跨境信息获取；题干更支持基于埃格蒙特集团的合作机制，而非主权绝对禁止获取信息的结论。</w:t>
      </w:r>
    </w:p>
    <w:p>
      <w:pPr>
        <w:spacing w:before="120" w:after="40"/>
      </w:pPr>
      <w:r>
        <w:rPr>
          <w:b/>
          <w:sz w:val="21"/>
          <w:shd w:fill="D6E4F0" w:val="clear"/>
        </w:rPr>
        <w:t>C项错误</w:t>
      </w:r>
    </w:p>
    <w:p>
      <w:pPr>
        <w:spacing w:line="360" w:lineRule="auto" w:after="40"/>
        <w:ind w:firstLine="420"/>
      </w:pPr>
      <w:r>
        <w:t>教材强调打击洗钱需要合作与信息共享</w:t>
      </w:r>
      <w:r>
        <w:rPr>
          <w:sz w:val="15"/>
          <w:vertAlign w:val="superscript"/>
        </w:rPr>
        <w:t>P233</w:t>
      </w:r>
      <w:r>
        <w:t>，但FIU间的信息交换通常在特定框架内进行，并非不受任何司法管辖区限制；C的表述过度泛化，不如D准确反映埃格蒙特集团成员国的协助机制。</w:t>
      </w:r>
    </w:p>
    <w:p>
      <w:pPr>
        <w:spacing w:before="120" w:after="40"/>
      </w:pPr>
      <w:r>
        <w:rPr>
          <w:b/>
          <w:sz w:val="21"/>
          <w:shd w:fill="D6E4F0" w:val="clear"/>
        </w:rPr>
        <w:t>易错提醒</w:t>
      </w:r>
    </w:p>
    <w:p>
      <w:pPr>
        <w:spacing w:line="360" w:lineRule="auto" w:after="40"/>
        <w:ind w:firstLine="420"/>
      </w:pPr>
      <w:r>
        <w:t>区分一般数据保护限制与FIU专门合作机制：数据隐私法可能限制个人数据向境外转移</w:t>
      </w:r>
      <w:r>
        <w:rPr>
          <w:sz w:val="15"/>
          <w:vertAlign w:val="superscript"/>
        </w:rPr>
        <w:t>P209</w:t>
      </w:r>
      <w:r>
        <w:t>，但FIU通过埃格蒙特集团可进行安全的情报共享</w:t>
      </w:r>
      <w:r>
        <w:rPr>
          <w:sz w:val="15"/>
          <w:vertAlign w:val="superscript"/>
        </w:rPr>
        <w:t>P167</w:t>
      </w:r>
      <w:r>
        <w:t>，信息协助请求需在合作框架内进行，并非绝对禁止。</w:t>
      </w:r>
    </w:p>
    <w:p>
      <w:pPr>
        <w:spacing w:line="360" w:lineRule="auto" w:after="120"/>
      </w:pPr>
      <w:r/>
    </w:p>
    <w:p>
      <w:pPr>
        <w:spacing w:line="360" w:lineRule="auto" w:after="40"/>
      </w:pPr>
      <w:r>
        <w:t>4. 沃尔夫斯堡集团关于私人银行业务的反洗钱原则： ( )</w:t>
      </w:r>
    </w:p>
    <w:p>
      <w:pPr>
        <w:spacing w:line="360" w:lineRule="auto" w:after="20"/>
        <w:ind w:firstLine="283"/>
      </w:pPr>
      <w:r>
        <w:t>A. 协助在数据隐私标准较高的司法管辖区开展业务的金融机构与易受洗钱影响的行业合作</w:t>
      </w:r>
    </w:p>
    <w:p>
      <w:pPr>
        <w:spacing w:line="360" w:lineRule="auto" w:after="20"/>
        <w:ind w:firstLine="283"/>
      </w:pPr>
      <w:r>
        <w:t>B. 建议银行只接受资金来源和受益所有权已了解的客户</w:t>
      </w:r>
    </w:p>
    <w:p>
      <w:pPr>
        <w:spacing w:line="360" w:lineRule="auto" w:after="20"/>
        <w:ind w:firstLine="283"/>
      </w:pPr>
      <w:r>
        <w:t>C. 为私人银行家制定有关如何处理政治公众人物（PEP）和来自高风险国家人士的规则</w:t>
      </w:r>
    </w:p>
    <w:p>
      <w:pPr>
        <w:spacing w:line="360" w:lineRule="auto" w:after="20"/>
        <w:ind w:firstLine="283"/>
      </w:pPr>
      <w:r>
        <w:t>D. 要求银行更好地管理声誉风险并保护富裕客户的隐私</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识别沃尔夫斯堡集团关于PEPs与高风险国家客户的核心原则</w:t>
      </w:r>
    </w:p>
    <w:p>
      <w:pPr>
        <w:spacing w:before="120" w:after="40"/>
      </w:pPr>
      <w:r>
        <w:rPr>
          <w:b/>
          <w:sz w:val="21"/>
          <w:shd w:fill="D6E4F0" w:val="clear"/>
        </w:rPr>
        <w:t>核心解析</w:t>
      </w:r>
    </w:p>
    <w:p>
      <w:pPr>
        <w:spacing w:line="360" w:lineRule="auto" w:after="40"/>
        <w:ind w:firstLine="420"/>
      </w:pPr>
      <w:r>
        <w:t>沃尔夫斯堡集团的私人银行业务反洗钱原则，旨在为金融机构识别和缓释高净值客户、政治敏感人物（PEPs）及离岸实体相关风险提供最佳实践</w:t>
      </w:r>
      <w:r>
        <w:rPr>
          <w:sz w:val="15"/>
          <w:vertAlign w:val="superscript"/>
        </w:rPr>
        <w:t>P168</w:t>
      </w:r>
      <w:r>
        <w:t>。该原则的关键条款包括，银行应针对高风险客户——尤其是政治敏感人物——加强尽职调查</w:t>
      </w:r>
      <w:r>
        <w:rPr>
          <w:sz w:val="15"/>
          <w:vertAlign w:val="superscript"/>
        </w:rPr>
        <w:t>P169</w:t>
      </w:r>
      <w:r>
        <w:t>。题干询问该原则的内容，选项C“为私人银行家制定有关如何处理政治公众人物（PEP）和来自高风险国家人士的规则”，直接对应了教材所述的加强尽职调查对象——PEPs和高风险客户。私人银行家正是服务于高净值人群（HNWIs）的核心岗位，对这些客户进行PEP识别和高风险国家排查，是沃尔夫斯堡原则在私人银行场景下的直接落点。由此可推断，相比其他选项，C最准确地表述了该原则为私人银行家设立的面向特定风险主体的操作要求。</w:t>
      </w:r>
    </w:p>
    <w:p>
      <w:pPr>
        <w:spacing w:before="120" w:after="40"/>
      </w:pPr>
      <w:r>
        <w:rPr>
          <w:b/>
          <w:sz w:val="21"/>
          <w:shd w:fill="D6E4F0" w:val="clear"/>
        </w:rPr>
        <w:t>教材原句</w:t>
      </w:r>
    </w:p>
    <w:p>
      <w:pPr>
        <w:spacing w:line="360" w:lineRule="auto" w:after="40"/>
        <w:ind w:firstLine="420"/>
      </w:pPr>
      <w:r>
        <w:t>"The Wolfsberg Group routinely revises these principles to outline best practices for financial institutions to detect and mitigate risks associated with high-net-worth clients, PEPs, and offshore entities."</w:t>
      </w:r>
    </w:p>
    <w:p>
      <w:pPr>
        <w:spacing w:before="120" w:after="40"/>
      </w:pPr>
      <w:r>
        <w:rPr>
          <w:b/>
          <w:sz w:val="21"/>
          <w:shd w:fill="D6E4F0" w:val="clear"/>
        </w:rPr>
        <w:t>A项错误</w:t>
      </w:r>
    </w:p>
    <w:p>
      <w:pPr>
        <w:spacing w:line="360" w:lineRule="auto" w:after="40"/>
        <w:ind w:firstLine="420"/>
      </w:pPr>
      <w:r>
        <w:t>教材指出“沃尔夫斯堡集团发布指引协助成员管理风险，保护业务免受犯罪滥用”、“对高风险客户特别是政治敏感人物应加强尽职调查”，而“协助在数据隐私标准较高的司法管辖区开展业务的金融机构与易受洗钱影响的行业合作”与此不符。</w:t>
      </w:r>
    </w:p>
    <w:p>
      <w:pPr>
        <w:spacing w:before="120" w:after="40"/>
      </w:pPr>
      <w:r>
        <w:rPr>
          <w:b/>
          <w:sz w:val="21"/>
          <w:shd w:fill="D6E4F0" w:val="clear"/>
        </w:rPr>
        <w:t>B项错误</w:t>
      </w:r>
    </w:p>
    <w:p>
      <w:pPr>
        <w:spacing w:line="360" w:lineRule="auto" w:after="40"/>
        <w:ind w:firstLine="420"/>
      </w:pPr>
      <w:r>
        <w:t>选项B“建议银行只接受资金来源和受益所有权已了解的客户”，用词绝对（“只接受”），与沃尔夫斯堡集团作为无执法权的指引发布者</w:t>
      </w:r>
      <w:r>
        <w:rPr>
          <w:sz w:val="15"/>
          <w:vertAlign w:val="superscript"/>
        </w:rPr>
        <w:t>P168</w:t>
      </w:r>
      <w:r>
        <w:t>的定位有偏差。沃尔夫斯堡原则要求银行调查资金来源与受益所有权</w:t>
      </w:r>
      <w:r>
        <w:rPr>
          <w:sz w:val="15"/>
          <w:vertAlign w:val="superscript"/>
        </w:rPr>
        <w:t>P169</w:t>
      </w:r>
      <w:r>
        <w:t>，但这是对已接受客户的尽职调查要求，而非将银行筛选客户的硬性标准设定为“只接受”已完全了解的客户。相比之下，C更贴近原则中关于PEPs等特定类型客户需特别处理的核心内容。</w:t>
      </w:r>
    </w:p>
    <w:p>
      <w:pPr>
        <w:spacing w:before="120" w:after="40"/>
      </w:pPr>
      <w:r>
        <w:rPr>
          <w:b/>
          <w:sz w:val="21"/>
          <w:shd w:fill="D6E4F0" w:val="clear"/>
        </w:rPr>
        <w:t>D项错误</w:t>
      </w:r>
    </w:p>
    <w:p>
      <w:pPr>
        <w:spacing w:line="360" w:lineRule="auto" w:after="40"/>
        <w:ind w:firstLine="420"/>
      </w:pPr>
      <w:r>
        <w:t>选项D“要求银行更好地管理声誉风险并保护富裕客户的隐私”，将隐私保护与声誉风险管理并列为核心目标。沃尔夫斯堡原则的核心是管理金融犯罪风险，保护业务不受犯罪滥用</w:t>
      </w:r>
      <w:r>
        <w:rPr>
          <w:sz w:val="15"/>
          <w:vertAlign w:val="superscript"/>
        </w:rPr>
        <w:t>P168</w:t>
      </w:r>
      <w:r>
        <w:t>，而非保护客户隐私。在私人银行业务场景下，相比于保护隐私，原则更侧重于对高净值客户中的PEPs等高风险群体进行风险检测和缓释</w:t>
      </w:r>
      <w:r>
        <w:rPr>
          <w:sz w:val="15"/>
          <w:vertAlign w:val="superscript"/>
        </w:rPr>
        <w:t>P168</w:t>
      </w:r>
      <w:r>
        <w:t>，故C与教材对原则内容的定义吻合度更高。</w:t>
      </w:r>
    </w:p>
    <w:p>
      <w:pPr>
        <w:spacing w:before="120" w:after="40"/>
      </w:pPr>
      <w:r>
        <w:rPr>
          <w:b/>
          <w:sz w:val="21"/>
          <w:shd w:fill="D6E4F0" w:val="clear"/>
        </w:rPr>
        <w:t>易错提醒</w:t>
      </w:r>
    </w:p>
    <w:p>
      <w:pPr>
        <w:spacing w:line="360" w:lineRule="auto" w:after="40"/>
        <w:ind w:firstLine="420"/>
      </w:pPr>
      <w:r>
        <w:t>沃尔夫斯堡集团发布的是“指引”（guidance），无执法权，其原则鼓励根据风险调整实践，而非设定如“只接受”之类的绝对硬性门槛。在做题时，若选项中出现将原则表述为强制性、绝对性要求的措辞（如选项B的“only”），通常与该集团作为准则制定者的定位不符。另外，私人银行原则的核心是管理高净值人群这一特殊客群带来的风险，而非保护他们的利益（如选项D的“privacy”），这层关系容易混淆。</w:t>
      </w:r>
    </w:p>
    <w:p>
      <w:pPr>
        <w:spacing w:line="360" w:lineRule="auto" w:after="120"/>
      </w:pPr>
      <w:r/>
    </w:p>
    <w:p>
      <w:pPr>
        <w:spacing w:line="360" w:lineRule="auto" w:after="40"/>
      </w:pPr>
      <w:r>
        <w:t>5. 基于沃尔夫斯堡集团阐述的反洗钱原则，私人银行和代理银行在监测恐怖主义融资方面有哪些共同之处？ ( )</w:t>
      </w:r>
    </w:p>
    <w:p>
      <w:pPr>
        <w:spacing w:line="360" w:lineRule="auto" w:after="20"/>
        <w:ind w:firstLine="283"/>
      </w:pPr>
      <w:r>
        <w:t>A. 预付卡的现金提取增加了该卡被用于洗钱目的的可能性</w:t>
      </w:r>
    </w:p>
    <w:p>
      <w:pPr>
        <w:spacing w:line="360" w:lineRule="auto" w:after="20"/>
        <w:ind w:firstLine="283"/>
      </w:pPr>
      <w:r>
        <w:t>B. 交易监控会审查尽职调查信息与账户关闭之间的关系</w:t>
      </w:r>
    </w:p>
    <w:p>
      <w:pPr>
        <w:spacing w:line="360" w:lineRule="auto" w:after="20"/>
        <w:ind w:firstLine="283"/>
      </w:pPr>
      <w:r>
        <w:t>C. 在对客户进行适当的身份识别和验证之后，将对其账户和交易活动进行监控</w:t>
      </w:r>
    </w:p>
    <w:p>
      <w:pPr>
        <w:spacing w:line="360" w:lineRule="auto" w:after="20"/>
        <w:ind w:firstLine="283"/>
      </w:pPr>
      <w:r>
        <w:t>D. 只有在银行已确认客户及受益所有人的身份后，才会接受编号账户或替代名称账户</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沃尔夫斯堡集团反洗钱原则中识别与持续监控的共性要求</w:t>
      </w:r>
    </w:p>
    <w:p>
      <w:pPr>
        <w:spacing w:before="120" w:after="40"/>
      </w:pPr>
      <w:r>
        <w:rPr>
          <w:b/>
          <w:sz w:val="21"/>
          <w:shd w:fill="D6E4F0" w:val="clear"/>
        </w:rPr>
        <w:t>核心解析</w:t>
      </w:r>
    </w:p>
    <w:p>
      <w:pPr>
        <w:spacing w:line="360" w:lineRule="auto" w:after="40"/>
        <w:ind w:firstLine="420"/>
      </w:pPr>
      <w:r>
        <w:t>沃尔夫斯堡集团针对私人银行和代理银行分别发布了反洗钱指引，其关键条款中共同要求：在完成对客户的适当身份识别和验证后，对账户及交易活动进行持续监控</w:t>
      </w:r>
      <w:r>
        <w:rPr>
          <w:sz w:val="15"/>
          <w:vertAlign w:val="superscript"/>
        </w:rPr>
        <w:t>P168</w:t>
      </w:r>
      <w:r>
        <w:t>。这一原则直接对应选项C，即“在对客户进行适当的身份识别和验证之后，将对其账户和交易活动进行监控”，是两类银行监测恐怖主义融资的共通基础流程。</w:t>
      </w:r>
    </w:p>
    <w:p>
      <w:pPr>
        <w:spacing w:before="120" w:after="40"/>
      </w:pPr>
      <w:r>
        <w:rPr>
          <w:b/>
          <w:sz w:val="21"/>
          <w:shd w:fill="D6E4F0" w:val="clear"/>
        </w:rPr>
        <w:t>A项错误</w:t>
      </w:r>
    </w:p>
    <w:p>
      <w:pPr>
        <w:spacing w:line="360" w:lineRule="auto" w:after="40"/>
        <w:ind w:firstLine="420"/>
      </w:pPr>
      <w:r>
        <w:t>预付卡的洗钱风险在零售银行产品章节讨论</w:t>
      </w:r>
      <w:r>
        <w:rPr>
          <w:sz w:val="15"/>
          <w:vertAlign w:val="superscript"/>
        </w:rPr>
        <w:t>P68</w:t>
      </w:r>
      <w:r>
        <w:t>，并非沃尔夫斯堡集团为私人银行和代理银行界定的反洗钱共同原则，题干未将其纳入恐怖主义融资监测的共享框架，故匹配度不如C。</w:t>
      </w:r>
    </w:p>
    <w:p>
      <w:pPr>
        <w:spacing w:before="120" w:after="40"/>
      </w:pPr>
      <w:r>
        <w:rPr>
          <w:b/>
          <w:sz w:val="21"/>
          <w:shd w:fill="D6E4F0" w:val="clear"/>
        </w:rPr>
        <w:t>B项错误</w:t>
      </w:r>
    </w:p>
    <w:p>
      <w:pPr>
        <w:spacing w:line="360" w:lineRule="auto" w:after="40"/>
        <w:ind w:firstLine="420"/>
      </w:pPr>
      <w:r>
        <w:t>教材中交易监控的核心目的是检测可疑交易活动</w:t>
      </w:r>
      <w:r>
        <w:rPr>
          <w:sz w:val="15"/>
          <w:vertAlign w:val="superscript"/>
        </w:rPr>
        <w:t>P254</w:t>
      </w:r>
      <w:r>
        <w:t>，而非专门审查尽职调查信息与账户关闭之间的关系。题干基于沃尔夫斯堡集团原则，该集团并未将“审查尽职调查与账户关闭关系”列为私人银行和代理银行的共同要点，因此C比B更直接匹配题干要求的共同监测框架。</w:t>
      </w:r>
    </w:p>
    <w:p>
      <w:pPr>
        <w:spacing w:before="120" w:after="40"/>
      </w:pPr>
      <w:r>
        <w:rPr>
          <w:b/>
          <w:sz w:val="21"/>
          <w:shd w:fill="D6E4F0" w:val="clear"/>
        </w:rPr>
        <w:t>D项错误</w:t>
      </w:r>
    </w:p>
    <w:p>
      <w:pPr>
        <w:spacing w:line="360" w:lineRule="auto" w:after="40"/>
        <w:ind w:firstLine="420"/>
      </w:pPr>
      <w:r>
        <w:t>编号账户或替代名称账户是私人银行业务中的特殊产品，相关接受条件出现在沃尔夫斯堡集团《私人银行反洗钱指引》中，代理银行通常不提供此类账户，故该要求不属于二者在恐怖主义融资监测方面的共同义务，题干更支持C类普遍适用的识别后监控。</w:t>
      </w:r>
    </w:p>
    <w:p>
      <w:pPr>
        <w:spacing w:line="360" w:lineRule="auto" w:after="120"/>
      </w:pPr>
      <w:r/>
    </w:p>
    <w:p>
      <w:pPr>
        <w:spacing w:line="360" w:lineRule="auto" w:after="40"/>
      </w:pPr>
      <w:r>
        <w:t>6. 沃尔夫斯堡集团2012年发布的《私人银行原则》规定了这一点: ( )</w:t>
      </w:r>
    </w:p>
    <w:p>
      <w:pPr>
        <w:spacing w:line="360" w:lineRule="auto" w:after="20"/>
        <w:ind w:firstLine="283"/>
      </w:pPr>
      <w:r>
        <w:t>A. 私人银行一致认为,客户实际受益所有权的透明度是必要且恰当的.</w:t>
      </w:r>
    </w:p>
    <w:p>
      <w:pPr>
        <w:spacing w:line="360" w:lineRule="auto" w:after="20"/>
        <w:ind w:firstLine="283"/>
      </w:pPr>
      <w:r>
        <w:t>B. 对私人银行客户的尽职调查要求对于预防上游犯罪是必要的.</w:t>
      </w:r>
    </w:p>
    <w:p>
      <w:pPr>
        <w:spacing w:line="360" w:lineRule="auto" w:after="20"/>
        <w:ind w:firstLine="283"/>
      </w:pPr>
      <w:r>
        <w:t>C. 基于风险的方法不足以应对私人银行业务所带来的风险加剧问题</w:t>
      </w:r>
    </w:p>
    <w:p>
      <w:pPr>
        <w:spacing w:line="360" w:lineRule="auto" w:after="20"/>
        <w:ind w:firstLine="283"/>
      </w:pPr>
      <w:r>
        <w:t>D. 私人银行需要更好地协调和统一其全球反洗钱控制环境策略.</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识别沃尔夫斯堡私人银行原则中受益所有权透明度的核心地位</w:t>
      </w:r>
    </w:p>
    <w:p>
      <w:pPr>
        <w:spacing w:before="120" w:after="40"/>
      </w:pPr>
      <w:r>
        <w:rPr>
          <w:b/>
          <w:sz w:val="21"/>
          <w:shd w:fill="D6E4F0" w:val="clear"/>
        </w:rPr>
        <w:t>核心解析</w:t>
      </w:r>
    </w:p>
    <w:p>
      <w:pPr>
        <w:spacing w:line="360" w:lineRule="auto" w:after="40"/>
        <w:ind w:firstLine="420"/>
      </w:pPr>
      <w:r>
        <w:t>沃尔夫斯堡集团《私人银行原则》的关键条款包括了解你的客户、尽职调查、财富来源与资金、持续监控等</w:t>
      </w:r>
      <w:r>
        <w:rPr>
          <w:sz w:val="15"/>
          <w:vertAlign w:val="superscript"/>
        </w:rPr>
        <w:t>P168</w:t>
      </w:r>
      <w:r>
        <w:t>。其中“了解你的客户”要求银行核实客户身份并评估风险状况</w:t>
      </w:r>
      <w:r>
        <w:rPr>
          <w:sz w:val="15"/>
          <w:vertAlign w:val="superscript"/>
        </w:rPr>
        <w:t>P168</w:t>
      </w:r>
      <w:r>
        <w:t>，而准确识别最终受益所有人是核实客户身份的核心内容。教材在私人银行风险部分也明确指出，客户可能通过私人投资公司或复杂所有权结构降低最终受益所有人的透明度</w:t>
      </w:r>
      <w:r>
        <w:rPr>
          <w:sz w:val="15"/>
          <w:vertAlign w:val="superscript"/>
        </w:rPr>
        <w:t>P71</w:t>
      </w:r>
      <w:r>
        <w:t>，这进一步印证了受益所有权透明度在私人银行领域的重要地位。沃尔夫斯堡集团2012年的原则正是将这一要求明确定为共识：私人银行一致认为，客户实际受益所有权的透明度是必要且恰当的。因此选项A直接体现了该原则的核心条款。</w:t>
      </w:r>
    </w:p>
    <w:p>
      <w:pPr>
        <w:spacing w:before="120" w:after="40"/>
      </w:pPr>
      <w:r>
        <w:rPr>
          <w:b/>
          <w:sz w:val="21"/>
          <w:shd w:fill="D6E4F0" w:val="clear"/>
        </w:rPr>
        <w:t>教材原句</w:t>
      </w:r>
    </w:p>
    <w:p>
      <w:pPr>
        <w:spacing w:line="360" w:lineRule="auto" w:after="40"/>
        <w:ind w:firstLine="420"/>
      </w:pPr>
      <w:r>
        <w:t>"KYC: Banks should verify client identities and assess their risk profiles."</w:t>
      </w:r>
    </w:p>
    <w:p>
      <w:pPr>
        <w:spacing w:before="120" w:after="40"/>
      </w:pPr>
      <w:r>
        <w:rPr>
          <w:b/>
          <w:sz w:val="21"/>
          <w:shd w:fill="D6E4F0" w:val="clear"/>
        </w:rPr>
        <w:t>B项错误</w:t>
      </w:r>
    </w:p>
    <w:p>
      <w:pPr>
        <w:spacing w:line="360" w:lineRule="auto" w:after="40"/>
        <w:ind w:firstLine="420"/>
      </w:pPr>
      <w:r>
        <w:t>选项B将尽职调查的必要性与预防上游犯罪直接挂钩，而沃尔夫斯堡原则的核心目标是协助成员管理风险、保护业务免受犯罪滥用</w:t>
      </w:r>
      <w:r>
        <w:rPr>
          <w:sz w:val="15"/>
          <w:vertAlign w:val="superscript"/>
        </w:rPr>
        <w:t>P168</w:t>
      </w:r>
      <w:r>
        <w:t>，并非专门针对预防上游犯罪。相比之下，A更直接匹配该原则的具体条款和共识声明。</w:t>
      </w:r>
    </w:p>
    <w:p>
      <w:pPr>
        <w:spacing w:before="120" w:after="40"/>
      </w:pPr>
      <w:r>
        <w:rPr>
          <w:b/>
          <w:sz w:val="21"/>
          <w:shd w:fill="D6E4F0" w:val="clear"/>
        </w:rPr>
        <w:t>C项错误</w:t>
      </w:r>
    </w:p>
    <w:p>
      <w:pPr>
        <w:spacing w:line="360" w:lineRule="auto" w:after="40"/>
        <w:ind w:firstLine="420"/>
      </w:pPr>
      <w:r>
        <w:t>教材明确指出，沃尔夫斯堡原则强调金融机构应根据客户、交易或司法管辖区的风险水平分配资源</w:t>
      </w:r>
      <w:r>
        <w:rPr>
          <w:sz w:val="15"/>
          <w:vertAlign w:val="superscript"/>
        </w:rPr>
        <w:t>P169</w:t>
      </w:r>
      <w:r>
        <w:t>，这本身就体现了基于风险的方法。因此，题干更支持A中对透明度的要求，而非否定风险为本方法的充分性。</w:t>
      </w:r>
    </w:p>
    <w:p>
      <w:pPr>
        <w:spacing w:before="120" w:after="40"/>
      </w:pPr>
      <w:r>
        <w:rPr>
          <w:b/>
          <w:sz w:val="21"/>
          <w:shd w:fill="D6E4F0" w:val="clear"/>
        </w:rPr>
        <w:t>D项错误</w:t>
      </w:r>
    </w:p>
    <w:p>
      <w:pPr>
        <w:spacing w:line="360" w:lineRule="auto" w:after="40"/>
        <w:ind w:firstLine="420"/>
      </w:pPr>
      <w:r>
        <w:t>选项D涉及全球反洗钱控制环境的协调与统一，而沃尔夫斯堡原则着重于为高净值客户、政治敏感人物和离岸实体提供风险检测与缓解的最佳实践</w:t>
      </w:r>
      <w:r>
        <w:rPr>
          <w:sz w:val="15"/>
          <w:vertAlign w:val="superscript"/>
        </w:rPr>
        <w:t>P168</w:t>
      </w:r>
      <w:r>
        <w:t>，并未将“协调全球控制环境策略”作为条款内容。题干要素更直接匹配A中关于受益所有权透明度的要求。</w:t>
      </w:r>
    </w:p>
    <w:p>
      <w:pPr>
        <w:spacing w:line="360" w:lineRule="auto" w:after="120"/>
      </w:pPr>
      <w:r/>
    </w:p>
    <w:p>
      <w:pPr>
        <w:spacing w:line="360" w:lineRule="auto" w:after="40"/>
      </w:pPr>
      <w:r>
        <w:t>7. 哪个金融情报机构(FIU)的集体组织成立目的是改善成员FIU之间的信息交流和共享机制,并通过增强其成员的能力来支持它们？ ( )</w:t>
      </w:r>
    </w:p>
    <w:p>
      <w:pPr>
        <w:spacing w:line="360" w:lineRule="auto" w:after="20"/>
        <w:ind w:firstLine="283"/>
      </w:pPr>
      <w:r>
        <w:t>A. 经济合作与发展组织(经合组织)</w:t>
      </w:r>
    </w:p>
    <w:p>
      <w:pPr>
        <w:spacing w:line="360" w:lineRule="auto" w:after="20"/>
        <w:ind w:firstLine="283"/>
      </w:pPr>
      <w:r>
        <w:t>B. 埃格蒙特集团</w:t>
      </w:r>
    </w:p>
    <w:p>
      <w:pPr>
        <w:spacing w:line="360" w:lineRule="auto" w:after="20"/>
        <w:ind w:firstLine="283"/>
      </w:pPr>
      <w:r>
        <w:t>C. 狼堡集团</w:t>
      </w:r>
    </w:p>
    <w:p>
      <w:pPr>
        <w:spacing w:line="360" w:lineRule="auto" w:after="20"/>
        <w:ind w:firstLine="283"/>
      </w:pPr>
      <w:r>
        <w:t>D. 国际货币基金组织(IMF)</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识别埃格蒙特集团作为FIU国际网络的核心定位</w:t>
      </w:r>
    </w:p>
    <w:p>
      <w:pPr>
        <w:spacing w:before="120" w:after="40"/>
      </w:pPr>
      <w:r>
        <w:rPr>
          <w:b/>
          <w:sz w:val="21"/>
          <w:shd w:fill="D6E4F0" w:val="clear"/>
        </w:rPr>
        <w:t>核心解析</w:t>
      </w:r>
    </w:p>
    <w:p>
      <w:pPr>
        <w:spacing w:line="360" w:lineRule="auto" w:after="40"/>
        <w:ind w:firstLine="420"/>
      </w:pPr>
      <w:r>
        <w:t>埃格蒙特集团是各国金融情报机构（FIU）的国际网络，促进成员间的合作与情报共享</w:t>
      </w:r>
      <w:r>
        <w:rPr>
          <w:sz w:val="15"/>
          <w:vertAlign w:val="superscript"/>
        </w:rPr>
        <w:t>P167</w:t>
      </w:r>
      <w:r>
        <w:t>。其关键职能包括信息共享、能力建设、协作和标准制定</w:t>
      </w:r>
      <w:r>
        <w:rPr>
          <w:sz w:val="15"/>
          <w:vertAlign w:val="superscript"/>
        </w:rPr>
        <w:t>P167</w:t>
      </w:r>
      <w:r>
        <w:t>。题干问的是哪个由FIU组成的集体组织，成立目的是改善成员之间的信息交流和共享机制，并通过增强能力来支持成员。埃格蒙特集团正是由各国FIU构成的网络，其成立目标和核心职能直接对应题干中的信息交流、共享机制和能力增强，因此B项完全吻合。</w:t>
      </w:r>
    </w:p>
    <w:p>
      <w:pPr>
        <w:spacing w:before="120" w:after="40"/>
      </w:pPr>
      <w:r>
        <w:rPr>
          <w:b/>
          <w:sz w:val="21"/>
          <w:shd w:fill="D6E4F0" w:val="clear"/>
        </w:rPr>
        <w:t>教材原句</w:t>
      </w:r>
    </w:p>
    <w:p>
      <w:pPr>
        <w:spacing w:line="360" w:lineRule="auto" w:after="40"/>
        <w:ind w:firstLine="420"/>
      </w:pPr>
      <w:r>
        <w:t>"The Egmont Group is an international network of national FIUs that facilitates cooperation and intelligence sharing among its members to combat money laundering, terrorist financing, and other financial crimes."</w:t>
      </w:r>
    </w:p>
    <w:p>
      <w:pPr>
        <w:spacing w:before="120" w:after="40"/>
      </w:pPr>
      <w:r>
        <w:rPr>
          <w:b/>
          <w:sz w:val="21"/>
          <w:shd w:fill="D6E4F0" w:val="clear"/>
        </w:rPr>
        <w:t>A项错误</w:t>
      </w:r>
    </w:p>
    <w:p>
      <w:pPr>
        <w:spacing w:line="360" w:lineRule="auto" w:after="40"/>
        <w:ind w:firstLine="420"/>
      </w:pPr>
      <w:r>
        <w:t>经济合作与发展组织（OECD）是由政府组成的政府间组织</w:t>
      </w:r>
      <w:r>
        <w:rPr>
          <w:sz w:val="15"/>
          <w:vertAlign w:val="superscript"/>
        </w:rPr>
        <w:t>P164</w:t>
      </w:r>
      <w:r>
        <w:t>，其成员是主权国家而非各金融情报机构。题干明确限定为“由FIU组成的集体组织”，OECD的成员性质与题干要求不匹配，故不如B项直接。</w:t>
      </w:r>
    </w:p>
    <w:p>
      <w:pPr>
        <w:spacing w:before="120" w:after="40"/>
      </w:pPr>
      <w:r>
        <w:rPr>
          <w:b/>
          <w:sz w:val="21"/>
          <w:shd w:fill="D6E4F0" w:val="clear"/>
        </w:rPr>
        <w:t>C项错误</w:t>
      </w:r>
    </w:p>
    <w:p>
      <w:pPr>
        <w:spacing w:line="360" w:lineRule="auto" w:after="40"/>
        <w:ind w:firstLine="420"/>
      </w:pPr>
      <w:r>
        <w:t>沃尔夫斯堡集团（狼堡集团）是由全球银行组成的协会</w:t>
      </w:r>
      <w:r>
        <w:rPr>
          <w:sz w:val="15"/>
          <w:vertAlign w:val="superscript"/>
        </w:rPr>
        <w:t>P168</w:t>
      </w:r>
      <w:r>
        <w:t>，其成员是银行而非FIU。题干要求的是FIU的集体组织，狼堡集团的成员属性与题干匹配度不及B项。</w:t>
      </w:r>
    </w:p>
    <w:p>
      <w:pPr>
        <w:spacing w:before="120" w:after="40"/>
      </w:pPr>
      <w:r>
        <w:rPr>
          <w:b/>
          <w:sz w:val="21"/>
          <w:shd w:fill="D6E4F0" w:val="clear"/>
        </w:rPr>
        <w:t>D项错误</w:t>
      </w:r>
    </w:p>
    <w:p>
      <w:pPr>
        <w:spacing w:line="360" w:lineRule="auto" w:after="40"/>
        <w:ind w:firstLine="420"/>
      </w:pPr>
      <w:r>
        <w:t>国际货币基金组织（IMF）监测全球经济、维护货币体系稳定并向成员国提供贷款</w:t>
      </w:r>
      <w:r>
        <w:rPr>
          <w:sz w:val="15"/>
          <w:vertAlign w:val="superscript"/>
        </w:rPr>
        <w:t>P163</w:t>
      </w:r>
      <w:r>
        <w:t>，其成员为国家而非FIU，职能也不以FIU间信息共享和能力建设为核心，因而没有B项贴近题干。</w:t>
      </w:r>
    </w:p>
    <w:p>
      <w:pPr>
        <w:spacing w:before="120" w:after="40"/>
      </w:pPr>
      <w:r>
        <w:rPr>
          <w:b/>
          <w:sz w:val="21"/>
          <w:shd w:fill="D6E4F0" w:val="clear"/>
        </w:rPr>
        <w:t>易错提醒</w:t>
      </w:r>
    </w:p>
    <w:p>
      <w:pPr>
        <w:spacing w:line="360" w:lineRule="auto" w:after="40"/>
        <w:ind w:firstLine="420"/>
      </w:pPr>
      <w:r>
        <w:t>埃格蒙特集团成员是各国的金融情报机构（FIU），而沃尔夫斯堡集团成员是全球性银行，两者容易混淆。看到题干中的“FIU集体组织”应立刻对应到埃格蒙特集团。</w:t>
      </w:r>
    </w:p>
    <w:p>
      <w:pPr>
        <w:spacing w:line="360" w:lineRule="auto" w:after="120"/>
      </w:pPr>
      <w:r/>
    </w:p>
    <w:p>
      <w:pPr>
        <w:spacing w:line="360" w:lineRule="auto" w:after="40"/>
      </w:pPr>
      <w:r>
        <w:t>8. 以下哪一项是公共部门团体在打击洗钱活动中的首要目标？ ( )</w:t>
      </w:r>
    </w:p>
    <w:p>
      <w:pPr>
        <w:spacing w:line="360" w:lineRule="auto" w:after="20"/>
        <w:ind w:firstLine="283"/>
      </w:pPr>
      <w:r>
        <w:t>A. 就如何通过反洗钱工作提高盈利能力向私人金融机构提供建议</w:t>
      </w:r>
    </w:p>
    <w:p>
      <w:pPr>
        <w:spacing w:line="360" w:lineRule="auto" w:after="20"/>
        <w:ind w:firstLine="283"/>
      </w:pPr>
      <w:r>
        <w:t>B. 建立并执行法律框架,以发现、预防和惩处洗钱及相关金融犯罪</w:t>
      </w:r>
    </w:p>
    <w:p>
      <w:pPr>
        <w:spacing w:line="360" w:lineRule="auto" w:after="20"/>
        <w:ind w:firstLine="283"/>
      </w:pPr>
      <w:r>
        <w:t>C. 为私营企业和非政府组织(NGO)提供资金,用于开发先进的合规技术</w:t>
      </w:r>
    </w:p>
    <w:p>
      <w:pPr>
        <w:spacing w:line="360" w:lineRule="auto" w:after="20"/>
        <w:ind w:firstLine="283"/>
      </w:pPr>
      <w:r>
        <w:t>D. 在私营企业和非政府组织(NGO)之间充当中间人,以简化反洗钱合规计划</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区分公共部门与私营部门在反洗钱中的核心职能定位</w:t>
      </w:r>
    </w:p>
    <w:p>
      <w:pPr>
        <w:spacing w:before="120" w:after="40"/>
      </w:pPr>
      <w:r>
        <w:rPr>
          <w:b/>
          <w:sz w:val="21"/>
          <w:shd w:fill="D6E4F0" w:val="clear"/>
        </w:rPr>
        <w:t>核心解析</w:t>
      </w:r>
    </w:p>
    <w:p>
      <w:pPr>
        <w:spacing w:line="360" w:lineRule="auto" w:after="40"/>
        <w:ind w:firstLine="420"/>
      </w:pPr>
      <w:r>
        <w:t>公共部门在反洗钱体系中的根基性职责是构建并执行法律框架。教材P160明确指出，联合国全球反洗钱方案（GPML）协助成员国建立强有力的反洗钱计划，其中包括“comprehensive legal frameworks”（全面的法律框架）以打击洗钱和恐怖融资。同样在P202，韩国《犯罪收益法》被定义为将洗钱行为刑事化并“establishes legal measures to punish and prevent the concealment of criminal proceeds”（确立法律措施以惩处和预防隐瞒犯罪收益）。由此可见，公共部门（政府、立法机关、国际监管组织）的首要目标并非为私营机构提供咨询建议或直接提供资金，而是利用国家主权权力进行立法和执法。题干询问“公共部门团体的首要目标”，选项B中的“建立并执行法律框架，以发现、预防和惩处洗钱及相关金融犯罪”完整吻合上述教材对公共部门核心职能的定义——即通过立法手段确立规则、施加义务、惩处犯罪，这是私营部门（如银行、企业）不具备的国家公权力特征。</w:t>
      </w:r>
    </w:p>
    <w:p>
      <w:pPr>
        <w:spacing w:before="120" w:after="40"/>
      </w:pPr>
      <w:r>
        <w:rPr>
          <w:b/>
          <w:sz w:val="21"/>
          <w:shd w:fill="D6E4F0" w:val="clear"/>
        </w:rPr>
        <w:t>教材原句</w:t>
      </w:r>
    </w:p>
    <w:p>
      <w:pPr>
        <w:spacing w:line="360" w:lineRule="auto" w:after="40"/>
        <w:ind w:firstLine="420"/>
      </w:pPr>
      <w:r>
        <w:t>"It assists Member States in developing robust AML programs including comprehensive legal frameworks, institutional infrastructure, and technical skills to combat money laundering and terrorist financing."</w:t>
      </w:r>
    </w:p>
    <w:p>
      <w:pPr>
        <w:spacing w:before="120" w:after="40"/>
      </w:pPr>
      <w:r>
        <w:rPr>
          <w:b/>
          <w:sz w:val="21"/>
          <w:shd w:fill="D6E4F0" w:val="clear"/>
        </w:rPr>
        <w:t>A项错误</w:t>
      </w:r>
    </w:p>
    <w:p>
      <w:pPr>
        <w:spacing w:line="360" w:lineRule="auto" w:after="40"/>
        <w:ind w:firstLine="420"/>
      </w:pPr>
      <w:r>
        <w:t>选项A更接近盈利性咨询机构或行业顾问的职能，而非公共部门的法定监管职责。教材P43强调的是通过立法和监管对机构施加义务，引导私人金融机构遵守法律，而非围绕“盈利能力”提供建议。</w:t>
      </w:r>
    </w:p>
    <w:p>
      <w:pPr>
        <w:spacing w:before="120" w:after="40"/>
      </w:pPr>
      <w:r>
        <w:rPr>
          <w:b/>
          <w:sz w:val="21"/>
          <w:shd w:fill="D6E4F0" w:val="clear"/>
        </w:rPr>
        <w:t>C项错误</w:t>
      </w:r>
    </w:p>
    <w:p>
      <w:pPr>
        <w:spacing w:line="360" w:lineRule="auto" w:after="40"/>
        <w:ind w:firstLine="420"/>
      </w:pPr>
      <w:r>
        <w:t>虽然教材在P373提及采用先进技术可强化金融犯罪防控框架，但提供资金给私营企业和NGO开发合规技术，更符合资助机构或行业协会的行为特征。公共部门的首要目标是利用公权力制定规则（如P202规定法律措施），而非直接作为技术研发的资金来源。</w:t>
      </w:r>
    </w:p>
    <w:p>
      <w:pPr>
        <w:spacing w:before="120" w:after="40"/>
      </w:pPr>
      <w:r>
        <w:rPr>
          <w:b/>
          <w:sz w:val="21"/>
          <w:shd w:fill="D6E4F0" w:val="clear"/>
        </w:rPr>
        <w:t>D项错误</w:t>
      </w:r>
    </w:p>
    <w:p>
      <w:pPr>
        <w:spacing w:line="360" w:lineRule="auto" w:after="40"/>
        <w:ind w:firstLine="420"/>
      </w:pPr>
      <w:r>
        <w:t>教材P237提到私营部门应通过行业协会或专门实体进行合作，公共部门代表可以参与其中，但其核心角色并非充当私营部门与非政府组织之间的“中间人”来简化合规计划。公共部门的首要角色仍是确立宏观的法律架构，而非主导微观的合作协调。</w:t>
      </w:r>
    </w:p>
    <w:p>
      <w:pPr>
        <w:spacing w:before="120" w:after="40"/>
      </w:pPr>
      <w:r>
        <w:rPr>
          <w:b/>
          <w:sz w:val="21"/>
          <w:shd w:fill="D6E4F0" w:val="clear"/>
        </w:rPr>
        <w:t>易错提醒</w:t>
      </w:r>
    </w:p>
    <w:p>
      <w:pPr>
        <w:spacing w:line="360" w:lineRule="auto" w:after="40"/>
        <w:ind w:firstLine="420"/>
      </w:pPr>
      <w:r>
        <w:t>公共部门的角色是制定规则（立法与执法），私营部门的角色是在规则内运行（合规与报告）。教材P43指出公共部门通过立法施加严格义务，而P237指出私营部门之间为发现规律进行信息共享与合作。双方在反洗钱体系中分工不同，一个用公权力建框架，一个在框架内执行合规操作。</w:t>
      </w:r>
    </w:p>
    <w:p>
      <w:pPr>
        <w:spacing w:line="360" w:lineRule="auto" w:after="120"/>
      </w:pPr>
      <w:r/>
    </w:p>
    <w:p>
      <w:pPr>
        <w:spacing w:line="360" w:lineRule="auto" w:after="40"/>
      </w:pPr>
      <w:r>
        <w:t>9. 巴塞尔银行监管委员会(BCBS)是一个由各国中央银行和银行业监管机构的高级代表组成的国际机构.以下哪项陈述准确描述了巴塞尔委员会提供的指导？(选择三项.) ( )</w:t>
      </w:r>
    </w:p>
    <w:p>
      <w:pPr>
        <w:spacing w:line="360" w:lineRule="auto" w:after="20"/>
        <w:ind w:firstLine="283"/>
      </w:pPr>
      <w:r>
        <w:t>A. 由于巴塞尔委员会没有执法权,它依靠其成员的承诺来执行其指导方针.</w:t>
      </w:r>
    </w:p>
    <w:p>
      <w:pPr>
        <w:spacing w:line="360" w:lineRule="auto" w:after="20"/>
        <w:ind w:firstLine="283"/>
      </w:pPr>
      <w:r>
        <w:t>B. 巴塞尔指导方针包括应纳入当地法律框架的标准、实施指南以及最佳实践指导.</w:t>
      </w:r>
    </w:p>
    <w:p>
      <w:pPr>
        <w:spacing w:line="360" w:lineRule="auto" w:after="20"/>
        <w:ind w:firstLine="283"/>
      </w:pPr>
      <w:r>
        <w:t>C. 巴塞尔委员会的核心原则包括有关客户身份识别和接纳的指导方针</w:t>
      </w:r>
    </w:p>
    <w:p>
      <w:pPr>
        <w:spacing w:line="360" w:lineRule="auto" w:after="20"/>
        <w:ind w:firstLine="283"/>
      </w:pPr>
      <w:r>
        <w:t>D. 巴塞尔银行监管委员会的成员必须执行其标准,否则将面临被暂停成员资格的处罚.</w:t>
      </w:r>
    </w:p>
    <w:p>
      <w:pPr>
        <w:spacing w:line="360" w:lineRule="auto" w:after="20"/>
        <w:ind w:firstLine="283"/>
      </w:pPr>
      <w:r>
        <w:t>E. 巴塞尔委员会由全球28家最大的银行</w:t>
      </w:r>
    </w:p>
    <w:p>
      <w:pPr>
        <w:spacing w:line="360" w:lineRule="auto" w:after="40"/>
      </w:pPr>
      <w:r>
        <w:t>答案:A、B、C</w:t>
      </w:r>
    </w:p>
    <w:p>
      <w:pPr>
        <w:spacing w:line="360" w:lineRule="auto" w:after="40"/>
      </w:pPr>
      <w:r>
        <w:t>解析：</w:t>
      </w:r>
    </w:p>
    <w:p>
      <w:pPr>
        <w:spacing w:before="120" w:after="40"/>
      </w:pPr>
      <w:r>
        <w:rPr>
          <w:b/>
          <w:sz w:val="21"/>
          <w:shd w:fill="D6E4F0" w:val="clear"/>
        </w:rPr>
        <w:t>考点</w:t>
      </w:r>
    </w:p>
    <w:p>
      <w:pPr>
        <w:spacing w:line="360" w:lineRule="auto" w:after="40"/>
        <w:ind w:firstLine="420"/>
      </w:pPr>
      <w:r>
        <w:t>辨析BCBS的机构属性、成员构成与指导文件类型及内容</w:t>
      </w:r>
    </w:p>
    <w:p>
      <w:pPr>
        <w:spacing w:before="120" w:after="40"/>
      </w:pPr>
      <w:r>
        <w:rPr>
          <w:b/>
          <w:sz w:val="21"/>
          <w:shd w:fill="D6E4F0" w:val="clear"/>
        </w:rPr>
        <w:t>核心解析</w:t>
      </w:r>
    </w:p>
    <w:p>
      <w:pPr>
        <w:spacing w:line="360" w:lineRule="auto" w:after="40"/>
        <w:ind w:firstLine="420"/>
      </w:pPr>
      <w:r>
        <w:t>巴塞尔银行监管委员会（BCBS）没有执法权，依赖成员的承诺来实现其使命</w:t>
      </w:r>
      <w:r>
        <w:rPr>
          <w:sz w:val="15"/>
          <w:vertAlign w:val="superscript"/>
        </w:rPr>
        <w:t>P165</w:t>
      </w:r>
      <w:r>
        <w:t>。其发布的指导文件恰好分成三类：供各国纳入本地法律框架的“标准”、帮助实施标准的“指南”，以及描述实际观察做法的“良好实践”（Sound practices）（P165-166）。在客户接纳方面，BCBS 1988年的原则声明将“客户身份识别”列为六项要点之一</w:t>
      </w:r>
      <w:r>
        <w:rPr>
          <w:sz w:val="15"/>
          <w:vertAlign w:val="superscript"/>
        </w:rPr>
        <w:t>P166</w:t>
      </w:r>
      <w:r>
        <w:t>，1997年后续文件进一步纳入了解你的客户（KYC）规则，关键要素直接包括“客户接纳政策”（Customer acceptance policy）</w:t>
      </w:r>
      <w:r>
        <w:rPr>
          <w:sz w:val="15"/>
          <w:vertAlign w:val="superscript"/>
        </w:rPr>
        <w:t>P166</w:t>
      </w:r>
      <w:r>
        <w:t>。题干中，选项A准确反映了无执法权、靠成员承诺的机构属性；选项B完整列举了标准、指南和最佳实践三类文件；选项C准确指出核心原则涵盖客户身份识别与接纳的指导。三者均直接符合教材对BCBS的定位和文件内容描述。</w:t>
      </w:r>
    </w:p>
    <w:p>
      <w:pPr>
        <w:spacing w:before="120" w:after="40"/>
      </w:pPr>
      <w:r>
        <w:rPr>
          <w:b/>
          <w:sz w:val="21"/>
          <w:shd w:fill="D6E4F0" w:val="clear"/>
        </w:rPr>
        <w:t>教材原句</w:t>
      </w:r>
    </w:p>
    <w:p>
      <w:pPr>
        <w:spacing w:line="360" w:lineRule="auto" w:after="40"/>
        <w:ind w:firstLine="420"/>
      </w:pPr>
      <w:r>
        <w:t>"It does not have enforcement authority, but relies on its members’ commitment to achieve its mandate."</w:t>
      </w:r>
    </w:p>
    <w:p>
      <w:pPr>
        <w:spacing w:before="120" w:after="40"/>
      </w:pPr>
      <w:r>
        <w:rPr>
          <w:b/>
          <w:sz w:val="21"/>
          <w:shd w:fill="D6E4F0" w:val="clear"/>
        </w:rPr>
        <w:t>D项错误</w:t>
      </w:r>
    </w:p>
    <w:p>
      <w:pPr>
        <w:spacing w:line="360" w:lineRule="auto" w:after="40"/>
        <w:ind w:firstLine="420"/>
      </w:pPr>
      <w:r>
        <w:t>教材明确记载BCBS没有执法权</w:t>
      </w:r>
      <w:r>
        <w:rPr>
          <w:sz w:val="15"/>
          <w:vertAlign w:val="superscript"/>
        </w:rPr>
        <w:t>P165</w:t>
      </w:r>
      <w:r>
        <w:t>，依赖成员承诺而非惩罚性措施来推动落实。题干无证据显示存在“不执行即暂停资格”的强制机制，相较于A项“依赖成员承诺”的直接记录，D项描述的强硬约束与教材定位不符。</w:t>
      </w:r>
    </w:p>
    <w:p>
      <w:pPr>
        <w:spacing w:before="120" w:after="40"/>
      </w:pPr>
      <w:r>
        <w:rPr>
          <w:b/>
          <w:sz w:val="21"/>
          <w:shd w:fill="D6E4F0" w:val="clear"/>
        </w:rPr>
        <w:t>E项错误</w:t>
      </w:r>
    </w:p>
    <w:p>
      <w:pPr>
        <w:spacing w:line="360" w:lineRule="auto" w:after="40"/>
        <w:ind w:firstLine="420"/>
      </w:pPr>
      <w:r>
        <w:t>BCBS成员包括银行监管机构和中央银行，来自28个成员国，而非由28家全球最大银行组成</w:t>
      </w:r>
      <w:r>
        <w:rPr>
          <w:sz w:val="15"/>
          <w:vertAlign w:val="superscript"/>
        </w:rPr>
        <w:t>P165</w:t>
      </w:r>
      <w:r>
        <w:t>。选项E将“监管机构与央行”的成员主体混淆为“商业银行”，主体描述与教材出现偏差。</w:t>
      </w:r>
    </w:p>
    <w:p>
      <w:pPr>
        <w:spacing w:before="120" w:after="40"/>
      </w:pPr>
      <w:r>
        <w:rPr>
          <w:b/>
          <w:sz w:val="21"/>
          <w:shd w:fill="D6E4F0" w:val="clear"/>
        </w:rPr>
        <w:t>易错提醒</w:t>
      </w:r>
    </w:p>
    <w:p>
      <w:pPr>
        <w:spacing w:line="360" w:lineRule="auto" w:after="40"/>
        <w:ind w:firstLine="420"/>
      </w:pPr>
      <w:r>
        <w:t>BCBS无执法权≠没有约束力，教材强调其靠成员承诺实现使命</w:t>
      </w:r>
      <w:r>
        <w:rPr>
          <w:sz w:val="15"/>
          <w:vertAlign w:val="superscript"/>
        </w:rPr>
        <w:t>P165</w:t>
      </w:r>
      <w:r>
        <w:t>。不要将国际标准制定机构（BCBS）的“无执法权”误读为“可以有成员资格惩罚机制”——后者是另一类组织（如FATF）可能具备的特点。</w:t>
      </w:r>
    </w:p>
    <w:p>
      <w:pPr>
        <w:spacing w:line="360" w:lineRule="auto" w:after="120"/>
      </w:pPr>
      <w:r/>
    </w:p>
    <w:p>
      <w:pPr>
        <w:spacing w:line="360" w:lineRule="auto" w:after="40"/>
      </w:pPr>
      <w:r>
        <w:t>10. 以下哪两项最能描述会计师在反洗钱/打击资助恐怖主义方面的风险识别和评估？（选择两项。） ( )</w:t>
      </w:r>
    </w:p>
    <w:p>
      <w:pPr>
        <w:spacing w:line="360" w:lineRule="auto" w:after="20"/>
        <w:ind w:firstLine="283"/>
      </w:pPr>
      <w:r>
        <w:t>A. 会计师无需保存业务关系记录超过两年。</w:t>
      </w:r>
    </w:p>
    <w:p>
      <w:pPr>
        <w:spacing w:line="360" w:lineRule="auto" w:after="20"/>
        <w:ind w:firstLine="283"/>
      </w:pPr>
      <w:r>
        <w:t>B. 起草一份客户接受政策有助于会计师明确超出其风险承受能力的客户范围</w:t>
      </w:r>
    </w:p>
    <w:p>
      <w:pPr>
        <w:spacing w:line="360" w:lineRule="auto" w:after="20"/>
        <w:ind w:firstLine="283"/>
      </w:pPr>
      <w:r>
        <w:t>C. 在确定交易和服务风险时，会计师提供服务所在的司法管辖区并不重要。</w:t>
      </w:r>
    </w:p>
    <w:p>
      <w:pPr>
        <w:spacing w:line="360" w:lineRule="auto" w:after="20"/>
        <w:ind w:firstLine="283"/>
      </w:pPr>
      <w:r>
        <w:t>D. 由于规模较小且资源有限，会计师仅被允许将反洗钱/反恐怖融资风险组织为客户风险或交易/服务风险。</w:t>
      </w:r>
    </w:p>
    <w:p>
      <w:pPr>
        <w:spacing w:line="360" w:lineRule="auto" w:after="20"/>
        <w:ind w:firstLine="283"/>
      </w:pPr>
      <w:r>
        <w:t>E. 由于会计师所提供服务的性质，金融机构使用的自动化交易监控系统可能并不适用。</w:t>
      </w:r>
    </w:p>
    <w:p>
      <w:pPr>
        <w:spacing w:line="360" w:lineRule="auto" w:after="40"/>
      </w:pPr>
      <w:r>
        <w:t>答案:B、E</w:t>
      </w:r>
    </w:p>
    <w:p>
      <w:pPr>
        <w:spacing w:line="360" w:lineRule="auto" w:after="40"/>
      </w:pPr>
      <w:r>
        <w:t>解析：</w:t>
      </w:r>
    </w:p>
    <w:p>
      <w:pPr>
        <w:spacing w:before="120" w:after="40"/>
      </w:pPr>
      <w:r>
        <w:rPr>
          <w:b/>
          <w:sz w:val="21"/>
          <w:shd w:fill="D6E4F0" w:val="clear"/>
        </w:rPr>
        <w:t>考点</w:t>
      </w:r>
    </w:p>
    <w:p>
      <w:pPr>
        <w:spacing w:line="360" w:lineRule="auto" w:after="40"/>
        <w:ind w:firstLine="420"/>
      </w:pPr>
      <w:r>
        <w:t>特定非金融行业在风险识别评估中的适配性考量</w:t>
      </w:r>
    </w:p>
    <w:p>
      <w:pPr>
        <w:spacing w:before="120" w:after="40"/>
      </w:pPr>
      <w:r>
        <w:rPr>
          <w:b/>
          <w:sz w:val="21"/>
          <w:shd w:fill="D6E4F0" w:val="clear"/>
        </w:rPr>
        <w:t>核心解析</w:t>
      </w:r>
    </w:p>
    <w:p>
      <w:pPr>
        <w:spacing w:line="360" w:lineRule="auto" w:after="40"/>
        <w:ind w:firstLine="420"/>
      </w:pPr>
      <w:r>
        <w:t>客户接纳政策属于KYC计划的关键要素之一</w:t>
      </w:r>
      <w:r>
        <w:rPr>
          <w:sz w:val="15"/>
          <w:vertAlign w:val="superscript"/>
        </w:rPr>
        <w:t>P166</w:t>
      </w:r>
      <w:r>
        <w:t>。它帮助机构界定自身风险偏好，明确接受或拒绝某类客户的标准。题干中B项指出起草该政策能帮助会计师明确超出风险承受能力的客户范围，直接匹配教材对客户接纳政策的功能定位——机构可利用风险偏好声明审查不再符合标准的客户</w:t>
      </w:r>
      <w:r>
        <w:rPr>
          <w:sz w:val="15"/>
          <w:vertAlign w:val="superscript"/>
        </w:rPr>
        <w:t>P272</w:t>
      </w:r>
      <w:r>
        <w:t>。同时，会计师属于特定非金融行业和职业（DNFBPs），其服务性质与金融机构不同，教材在讨论交易监控系统设计时指出，金融机构在风险评估后会设计反洗钱系统以实施交易监控规则和模型</w:t>
      </w:r>
      <w:r>
        <w:rPr>
          <w:sz w:val="15"/>
          <w:vertAlign w:val="superscript"/>
        </w:rPr>
        <w:t>P449</w:t>
      </w:r>
      <w:r>
        <w:t>，这类自动化系统基于大量标准化交易场景构建，而会计师提供的审计、税务、咨询等业务具有高度定制化特征，交易模式不易标准化，由此可推断金融机构的自动化交易监控系统对会计师业务并不适用。两项结合，B和E最能描述会计师在反洗钱/打击资助恐怖主义方面的风险识别与评估。</w:t>
      </w:r>
    </w:p>
    <w:p>
      <w:pPr>
        <w:spacing w:before="120" w:after="40"/>
      </w:pPr>
      <w:r>
        <w:rPr>
          <w:b/>
          <w:sz w:val="21"/>
          <w:shd w:fill="D6E4F0" w:val="clear"/>
        </w:rPr>
        <w:t>A项错误</w:t>
      </w:r>
    </w:p>
    <w:p>
      <w:pPr>
        <w:spacing w:line="360" w:lineRule="auto" w:after="40"/>
        <w:ind w:firstLine="420"/>
      </w:pPr>
      <w:r>
        <w:t>选项A认为会计师无需将业务关系记录保存超过两年，与教材要求冲突——金融机构应将交易记录和客户尽职调查信息保存至少五年</w:t>
      </w:r>
      <w:r>
        <w:rPr>
          <w:sz w:val="15"/>
          <w:vertAlign w:val="superscript"/>
        </w:rPr>
        <w:t>P148</w:t>
      </w:r>
      <w:r>
        <w:t>。会计师作为DNFBPs已扩展适用反洗钱义务</w:t>
      </w:r>
      <w:r>
        <w:rPr>
          <w:sz w:val="15"/>
          <w:vertAlign w:val="superscript"/>
        </w:rPr>
        <w:t>P197</w:t>
      </w:r>
      <w:r>
        <w:t>，保存时限同样须满足最低五年标准。</w:t>
      </w:r>
    </w:p>
    <w:p>
      <w:pPr>
        <w:spacing w:before="120" w:after="40"/>
      </w:pPr>
      <w:r>
        <w:rPr>
          <w:b/>
          <w:sz w:val="21"/>
          <w:shd w:fill="D6E4F0" w:val="clear"/>
        </w:rPr>
        <w:t>C项错误</w:t>
      </w:r>
    </w:p>
    <w:p>
      <w:pPr>
        <w:spacing w:line="360" w:lineRule="auto" w:after="40"/>
        <w:ind w:firstLine="420"/>
      </w:pPr>
      <w:r>
        <w:t>选项C称司法管辖区在确定交易和服务风险时不重要。但教材在固有风险评估流程中明确将地域风险列为独立评估维度，需考虑政治稳定性、监管环境和制裁状况</w:t>
      </w:r>
      <w:r>
        <w:rPr>
          <w:sz w:val="15"/>
          <w:vertAlign w:val="superscript"/>
        </w:rPr>
        <w:t>P275</w:t>
      </w:r>
      <w:r>
        <w:t>。题干问的是会计师如何进行风险识别与评估，忽略管辖区的说法与教材四维风险评估框架直接矛盾。</w:t>
      </w:r>
    </w:p>
    <w:p>
      <w:pPr>
        <w:spacing w:before="120" w:after="40"/>
      </w:pPr>
      <w:r>
        <w:rPr>
          <w:b/>
          <w:sz w:val="21"/>
          <w:shd w:fill="D6E4F0" w:val="clear"/>
        </w:rPr>
        <w:t>D项错误</w:t>
      </w:r>
    </w:p>
    <w:p>
      <w:pPr>
        <w:spacing w:line="360" w:lineRule="auto" w:after="40"/>
        <w:ind w:firstLine="420"/>
      </w:pPr>
      <w:r>
        <w:t>选项D表述会计师因规模小和资源有限而“仅被允许”将风险组织为客户风险或交易/服务风险。教材在描述固有风险确定流程时，明确列出客户、地域、产品和渠道四类风险因素</w:t>
      </w:r>
      <w:r>
        <w:rPr>
          <w:sz w:val="15"/>
          <w:vertAlign w:val="superscript"/>
        </w:rPr>
        <w:t>P275</w:t>
      </w:r>
      <w:r>
        <w:t>，会计师作为报告实体须全面评估所有相关风险类别。选项D将资源限制当作法定豁免理由，在教材中缺乏依据，不如B项和E项直接对应会计师行业的实际合规需求。</w:t>
      </w:r>
    </w:p>
    <w:p>
      <w:pPr>
        <w:spacing w:before="120" w:after="40"/>
      </w:pPr>
      <w:r>
        <w:rPr>
          <w:b/>
          <w:sz w:val="21"/>
          <w:shd w:fill="D6E4F0" w:val="clear"/>
        </w:rPr>
        <w:t>易错提醒</w:t>
      </w:r>
    </w:p>
    <w:p>
      <w:pPr>
        <w:spacing w:line="360" w:lineRule="auto" w:after="40"/>
        <w:ind w:firstLine="420"/>
      </w:pPr>
      <w:r>
        <w:t>选项D的迷惑点在于会计师确实面临规模小和资源有限的现实困境，但教材中风险评估的四个维度（客户、地域、产品、渠道）是识别固有风险的基本框架，不同规模的主体均可据此调整评估深度，而非直接取消某类风险维度。风险为本方法强调根据风险水平调整措施强度</w:t>
      </w:r>
      <w:r>
        <w:rPr>
          <w:sz w:val="15"/>
          <w:vertAlign w:val="superscript"/>
        </w:rPr>
        <w:t>P197</w:t>
      </w:r>
      <w:r>
        <w:t>，不等于缩减风险识别维度。</w:t>
      </w:r>
    </w:p>
    <w:p>
      <w:pPr>
        <w:spacing w:line="360" w:lineRule="auto" w:after="120"/>
      </w:pPr>
      <w:r/>
    </w:p>
    <w:p>
      <w:pPr>
        <w:spacing w:line="360" w:lineRule="auto" w:after="40"/>
      </w:pPr>
      <w:r>
        <w:t>11. [洗钱和恐怖融资的风险及手段]巴塞尔银行监管委员会发布了关于"妥善管理与洗钱和恐怖主义融资相关风险"的指导方针.关于识别和接纳客户,它建议银行:(选择两项.) ( )</w:t>
      </w:r>
    </w:p>
    <w:p>
      <w:pPr>
        <w:spacing w:line="360" w:lineRule="auto" w:after="20"/>
        <w:ind w:firstLine="283"/>
      </w:pPr>
      <w:r>
        <w:t>A. 制定政策和程序,确保对所有客户开展的尽职调查活动完全一致.</w:t>
      </w:r>
    </w:p>
    <w:p>
      <w:pPr>
        <w:spacing w:line="360" w:lineRule="auto" w:after="20"/>
        <w:ind w:firstLine="283"/>
      </w:pPr>
      <w:r>
        <w:t>B. 制定政策和程序,以识别和核实客户、受益所有人以及任何能够代表客户进行交易的个人.</w:t>
      </w:r>
    </w:p>
    <w:p>
      <w:pPr>
        <w:spacing w:line="360" w:lineRule="auto" w:after="20"/>
        <w:ind w:firstLine="283"/>
      </w:pPr>
      <w:r>
        <w:t>C. 制定基于风险程度不同的客户尽职调查政策和程序.</w:t>
      </w:r>
    </w:p>
    <w:p>
      <w:pPr>
        <w:spacing w:line="360" w:lineRule="auto" w:after="20"/>
        <w:ind w:firstLine="283"/>
      </w:pPr>
      <w:r>
        <w:t>D. 即使已建立程序来收集和保存尽职调查信息,也不得向客户提供编号账户.</w:t>
      </w:r>
    </w:p>
    <w:p>
      <w:pPr>
        <w:spacing w:line="360" w:lineRule="auto" w:after="20"/>
        <w:ind w:firstLine="283"/>
      </w:pPr>
      <w:r>
        <w:t>E. 制定相关政策和程序,鼓励在尽职调查信息建立和核实期间处理交易</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巴塞尔委员会客户接纳要求识别受益所有人并采用风险为本方法</w:t>
      </w:r>
    </w:p>
    <w:p>
      <w:pPr>
        <w:spacing w:before="120" w:after="40"/>
      </w:pPr>
      <w:r>
        <w:rPr>
          <w:b/>
          <w:sz w:val="21"/>
          <w:shd w:fill="D6E4F0" w:val="clear"/>
        </w:rPr>
        <w:t>核心解析</w:t>
      </w:r>
    </w:p>
    <w:p>
      <w:pPr>
        <w:spacing w:line="360" w:lineRule="auto" w:after="40"/>
        <w:ind w:firstLine="420"/>
      </w:pPr>
      <w:r>
        <w:t>巴塞尔银行监管委员会指南支持银行和监管机构实施FATF关于反洗钱／反恐怖融资的建议</w:t>
      </w:r>
      <w:r>
        <w:rPr>
          <w:sz w:val="15"/>
          <w:vertAlign w:val="superscript"/>
        </w:rPr>
        <w:t>P166</w:t>
      </w:r>
      <w:r>
        <w:t>，并倡导实施风险分析和治理安排</w:t>
      </w:r>
      <w:r>
        <w:rPr>
          <w:sz w:val="15"/>
          <w:vertAlign w:val="superscript"/>
        </w:rPr>
        <w:t>P166</w:t>
      </w:r>
      <w:r>
        <w:t>。在识别和接纳客户方面，FATF建议要求识别与核实客户、受益所有人及代表客户行事的个人，同时根据客户风险水平调整尽职调查措施</w:t>
      </w:r>
      <w:r>
        <w:rPr>
          <w:sz w:val="15"/>
          <w:vertAlign w:val="superscript"/>
        </w:rPr>
        <w:t>P270、P311</w:t>
      </w:r>
      <w:r>
        <w:t>。选项B直接对应识别核实要求，选项C直接对应基于风险的差异化措施，两者均是指南建议的核心。</w:t>
      </w:r>
    </w:p>
    <w:p>
      <w:pPr>
        <w:spacing w:before="120" w:after="40"/>
      </w:pPr>
      <w:r>
        <w:rPr>
          <w:b/>
          <w:sz w:val="21"/>
          <w:shd w:fill="D6E4F0" w:val="clear"/>
        </w:rPr>
        <w:t>教材原句</w:t>
      </w:r>
    </w:p>
    <w:p>
      <w:pPr>
        <w:spacing w:line="360" w:lineRule="auto" w:after="40"/>
        <w:ind w:firstLine="420"/>
      </w:pPr>
      <w:r>
        <w:t>"Support banks and supervisors in implementing the FATF Recommendations concerning AML/CFT."</w:t>
      </w:r>
    </w:p>
    <w:p>
      <w:pPr>
        <w:spacing w:before="120" w:after="40"/>
      </w:pPr>
      <w:r>
        <w:rPr>
          <w:b/>
          <w:sz w:val="21"/>
          <w:shd w:fill="D6E4F0" w:val="clear"/>
        </w:rPr>
        <w:t>A项错误</w:t>
      </w:r>
    </w:p>
    <w:p>
      <w:pPr>
        <w:spacing w:line="360" w:lineRule="auto" w:after="40"/>
        <w:ind w:firstLine="420"/>
      </w:pPr>
      <w:r>
        <w:t>指南倡导风险为本方法，要求政策根据机构风险敞口、客户概况等因素量身定制</w:t>
      </w:r>
      <w:r>
        <w:rPr>
          <w:sz w:val="15"/>
          <w:vertAlign w:val="superscript"/>
        </w:rPr>
        <w:t>P166、P292</w:t>
      </w:r>
      <w:r>
        <w:t>，选项C基于风险变化的CDD比选项A要求的“完全一致”更直接匹配指南原则。</w:t>
      </w:r>
    </w:p>
    <w:p>
      <w:pPr>
        <w:spacing w:before="120" w:after="40"/>
      </w:pPr>
      <w:r>
        <w:rPr>
          <w:b/>
          <w:sz w:val="21"/>
          <w:shd w:fill="D6E4F0" w:val="clear"/>
        </w:rPr>
        <w:t>D项错误</w:t>
      </w:r>
    </w:p>
    <w:p>
      <w:pPr>
        <w:spacing w:line="360" w:lineRule="auto" w:after="40"/>
        <w:ind w:firstLine="420"/>
      </w:pPr>
      <w:r>
        <w:t>教材未提及巴塞尔委员会指南对编号账户的具体规定，编号账户问题与客户识别接纳的核心要求关联度不如B、C直接。</w:t>
      </w:r>
    </w:p>
    <w:p>
      <w:pPr>
        <w:spacing w:before="120" w:after="40"/>
      </w:pPr>
      <w:r>
        <w:rPr>
          <w:b/>
          <w:sz w:val="21"/>
          <w:shd w:fill="D6E4F0" w:val="clear"/>
        </w:rPr>
        <w:t>E项错误</w:t>
      </w:r>
    </w:p>
    <w:p>
      <w:pPr>
        <w:spacing w:line="360" w:lineRule="auto" w:after="40"/>
        <w:ind w:firstLine="420"/>
      </w:pPr>
      <w:r>
        <w:t>指南遵循FATF建议，要求在建立业务关系前完成CDD，选项E鼓励在核实期间处理交易，与风险控制原则相悖，相比之下B、C更吻合指南建议。</w:t>
      </w:r>
    </w:p>
    <w:p>
      <w:pPr>
        <w:spacing w:before="120" w:after="40"/>
      </w:pPr>
      <w:r>
        <w:rPr>
          <w:b/>
          <w:sz w:val="21"/>
          <w:shd w:fill="D6E4F0" w:val="clear"/>
        </w:rPr>
        <w:t>易错提醒</w:t>
      </w:r>
    </w:p>
    <w:p>
      <w:pPr>
        <w:spacing w:line="360" w:lineRule="auto" w:after="40"/>
        <w:ind w:firstLine="420"/>
      </w:pPr>
      <w:r>
        <w:t>风险为本方法（RBA）要求对不同风险等级的客户采取差异化尽职调查措施，而非对所有客户完全一致</w:t>
      </w:r>
      <w:r>
        <w:rPr>
          <w:sz w:val="15"/>
          <w:vertAlign w:val="superscript"/>
        </w:rPr>
        <w:t>P292、P311</w:t>
      </w:r>
      <w:r>
        <w:t>。误以为公平对待所有客户就是同等措施，实则应根据风险分配资源。</w:t>
      </w:r>
    </w:p>
    <w:p>
      <w:pPr>
        <w:spacing w:line="360" w:lineRule="auto" w:after="120"/>
      </w:pPr>
      <w:r/>
    </w:p>
    <w:p>
      <w:pPr>
        <w:spacing w:line="360" w:lineRule="auto" w:after="40"/>
      </w:pPr>
      <w:r>
        <w:t>12. 金融情报机构（FIU）埃格蒙特集团的目标是为金融情报机构提供一个论坛，以实现以下目的：（选择三项。） ( )</w:t>
      </w:r>
    </w:p>
    <w:p>
      <w:pPr>
        <w:spacing w:line="360" w:lineRule="auto" w:after="20"/>
        <w:ind w:firstLine="283"/>
      </w:pPr>
      <w:r>
        <w:t>A. 在打击洗钱和恐怖主义融资的行动中安全地共享敏感信息</w:t>
      </w:r>
    </w:p>
    <w:p>
      <w:pPr>
        <w:spacing w:line="360" w:lineRule="auto" w:after="20"/>
        <w:ind w:firstLine="283"/>
      </w:pPr>
      <w:r>
        <w:t>B. 营造促进各国相互信任的环境</w:t>
      </w:r>
    </w:p>
    <w:p>
      <w:pPr>
        <w:spacing w:line="360" w:lineRule="auto" w:after="20"/>
        <w:ind w:firstLine="283"/>
      </w:pPr>
      <w:r>
        <w:t>C. 签署合作备忘录，承认并为具体问题的个案解决留出空间</w:t>
      </w:r>
    </w:p>
    <w:p>
      <w:pPr>
        <w:spacing w:line="360" w:lineRule="auto" w:after="20"/>
        <w:ind w:firstLine="283"/>
      </w:pPr>
      <w:r>
        <w:t>D. 加强金融情报机构之间的全球合作</w:t>
      </w:r>
    </w:p>
    <w:p>
      <w:pPr>
        <w:spacing w:line="360" w:lineRule="auto" w:after="20"/>
        <w:ind w:firstLine="283"/>
      </w:pPr>
      <w:r>
        <w:t>E. 提出打击金融犯罪的立法，包括反洗钱和反恐怖主义融资立法</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埃格蒙特集团的核心职能：信息共享、建立信任、全球合作</w:t>
      </w:r>
    </w:p>
    <w:p>
      <w:pPr>
        <w:spacing w:before="120" w:after="40"/>
      </w:pPr>
      <w:r>
        <w:rPr>
          <w:b/>
          <w:sz w:val="21"/>
          <w:shd w:fill="D6E4F0" w:val="clear"/>
        </w:rPr>
        <w:t>核心解析</w:t>
      </w:r>
    </w:p>
    <w:p>
      <w:pPr>
        <w:spacing w:line="360" w:lineRule="auto" w:after="40"/>
        <w:ind w:firstLine="420"/>
      </w:pPr>
      <w:r>
        <w:t>埃格蒙特集团是各国金融情报机构（FIU）的国际网络，旨在促进成员间合作与情报共享以打击洗钱、恐怖融资和其他金融犯罪</w:t>
      </w:r>
      <w:r>
        <w:rPr>
          <w:sz w:val="15"/>
          <w:vertAlign w:val="superscript"/>
        </w:rPr>
        <w:t>P167</w:t>
      </w:r>
      <w:r>
        <w:t>。教材将埃格蒙特集团的关键职能归纳为信息共享、能力建设、协作和标准制定，其政策与指引重点在于“改善合作并提升司法管辖区之间的信任水平，以实现敏感信息的安全共享”</w:t>
      </w:r>
      <w:r>
        <w:rPr>
          <w:sz w:val="15"/>
          <w:vertAlign w:val="superscript"/>
        </w:rPr>
        <w:t>P167</w:t>
      </w:r>
      <w:r>
        <w:t>。题干问的是埃格蒙特集团为FIU提供论坛的目标，A项“安全共享敏感信息”直接对应信息共享职能，B项“营造促进信任的环境”对应教材原文“increasing the level of trust between jurisdictions”，D项“加强全球合作”对应协作职能。三者均属于教材列明的埃格蒙特集团核心目标范畴，因此正确。</w:t>
      </w:r>
    </w:p>
    <w:p>
      <w:pPr>
        <w:spacing w:before="120" w:after="40"/>
      </w:pPr>
      <w:r>
        <w:rPr>
          <w:b/>
          <w:sz w:val="21"/>
          <w:shd w:fill="D6E4F0" w:val="clear"/>
        </w:rPr>
        <w:t>教材原句</w:t>
      </w:r>
    </w:p>
    <w:p>
      <w:pPr>
        <w:spacing w:line="360" w:lineRule="auto" w:after="40"/>
        <w:ind w:firstLine="420"/>
      </w:pPr>
      <w:r>
        <w:t>"Their policies and guidance focus on improving cooperation and increasing the level of trust between jurisdictions to allow for the secure sharing of sensitive information. The Egmont Group’s key functions are:"</w:t>
      </w:r>
    </w:p>
    <w:p>
      <w:pPr>
        <w:spacing w:before="120" w:after="40"/>
      </w:pPr>
      <w:r>
        <w:rPr>
          <w:b/>
          <w:sz w:val="21"/>
          <w:shd w:fill="D6E4F0" w:val="clear"/>
        </w:rPr>
        <w:t>C项错误</w:t>
      </w:r>
    </w:p>
    <w:p>
      <w:pPr>
        <w:spacing w:line="360" w:lineRule="auto" w:after="40"/>
        <w:ind w:firstLine="420"/>
      </w:pPr>
      <w:r>
        <w:t>“签署合作备忘录”在教材中更直接出现在司法协助条约（MLAT）的语境下，作为补充MLAT以简化程序的手段</w:t>
      </w:r>
      <w:r>
        <w:rPr>
          <w:sz w:val="15"/>
          <w:vertAlign w:val="superscript"/>
        </w:rPr>
        <w:t>P233</w:t>
      </w:r>
      <w:r>
        <w:t>。埃格蒙特集团虽制定治理文件以标准化国际信息交换，但其目标并非签署逐案合作的谅解备忘录，正确项A、B、D在教材中与埃格蒙特集团的直接关联度更高。</w:t>
      </w:r>
    </w:p>
    <w:p>
      <w:pPr>
        <w:spacing w:before="120" w:after="40"/>
      </w:pPr>
      <w:r>
        <w:rPr>
          <w:b/>
          <w:sz w:val="21"/>
          <w:shd w:fill="D6E4F0" w:val="clear"/>
        </w:rPr>
        <w:t>E项错误</w:t>
      </w:r>
    </w:p>
    <w:p>
      <w:pPr>
        <w:spacing w:line="360" w:lineRule="auto" w:after="40"/>
        <w:ind w:firstLine="420"/>
      </w:pPr>
      <w:r>
        <w:t>教材中提及立法（如新加坡、澳大利亚的反洗钱立法）均属主权国家层面的职能，而非埃格蒙特集团的职责。埃格蒙特集团的核心职能是推动FIU之间的协作与标准制定，题干未提供任何信息表明其具有“提出立法”的目标。</w:t>
      </w:r>
    </w:p>
    <w:p>
      <w:pPr>
        <w:spacing w:before="120" w:after="40"/>
      </w:pPr>
      <w:r>
        <w:rPr>
          <w:b/>
          <w:sz w:val="21"/>
          <w:shd w:fill="D6E4F0" w:val="clear"/>
        </w:rPr>
        <w:t>易错提醒</w:t>
      </w:r>
    </w:p>
    <w:p>
      <w:pPr>
        <w:spacing w:line="360" w:lineRule="auto" w:after="40"/>
        <w:ind w:firstLine="420"/>
      </w:pPr>
      <w:r>
        <w:t>埃格蒙特集团的标准制定职能是指制定指南和治理文件以标准化信息交换流程</w:t>
      </w:r>
      <w:r>
        <w:rPr>
          <w:sz w:val="15"/>
          <w:vertAlign w:val="superscript"/>
        </w:rPr>
        <w:t>P167</w:t>
      </w:r>
      <w:r>
        <w:t>，而非签署国与国之间的合作备忘录解决个案——后者属于司法协助条约（MLAT）领域的补充机制</w:t>
      </w:r>
      <w:r>
        <w:rPr>
          <w:sz w:val="15"/>
          <w:vertAlign w:val="superscript"/>
        </w:rPr>
        <w:t>P233</w:t>
      </w:r>
      <w:r>
        <w:t>。题目考察的是组织自身的核心目标，不是其可以用到哪些工具。</w:t>
      </w:r>
    </w:p>
    <w:p>
      <w:pPr>
        <w:spacing w:line="360" w:lineRule="auto" w:after="120"/>
      </w:pPr>
      <w:r/>
    </w:p>
    <w:p>
      <w:pPr>
        <w:spacing w:line="360" w:lineRule="auto" w:after="40"/>
      </w:pPr>
      <w:r>
        <w:t>13. 某银行的新任客户尽职调查(KYC)负责人特别注重强化其KYC计划中的风险管理部分，并提及了巴塞尔委员会的客户尽职调查(CDD)原则。以下哪两项描述了巴塞尔委员会客户尽职调查原则中所确立的KYC(了解你的客户)计划的关键改进？(选择两项。) ( )</w:t>
      </w:r>
    </w:p>
    <w:p>
      <w:pPr>
        <w:spacing w:line="360" w:lineRule="auto" w:after="20"/>
        <w:ind w:firstLine="283"/>
      </w:pPr>
      <w:r>
        <w:t>A. 对此前已发现并调查过可疑活动的代理行客户实施黑名单制度</w:t>
      </w:r>
    </w:p>
    <w:p>
      <w:pPr>
        <w:spacing w:line="360" w:lineRule="auto" w:after="20"/>
        <w:ind w:firstLine="283"/>
      </w:pPr>
      <w:r>
        <w:t>B. 完善客户接受政策，更明确地识别高风险客户</w:t>
      </w:r>
    </w:p>
    <w:p>
      <w:pPr>
        <w:spacing w:line="360" w:lineRule="auto" w:after="20"/>
        <w:ind w:firstLine="283"/>
      </w:pPr>
      <w:r>
        <w:t>C. 提高前台员工培训的频率</w:t>
      </w:r>
    </w:p>
    <w:p>
      <w:pPr>
        <w:spacing w:line="360" w:lineRule="auto" w:after="20"/>
        <w:ind w:firstLine="283"/>
      </w:pPr>
      <w:r>
        <w:t>D. 加强客户身份识别程序，以适当识别信托、代名和受托账户</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巴塞尔委员会KYC计划的核心要素（四大支柱）</w:t>
      </w:r>
    </w:p>
    <w:p>
      <w:pPr>
        <w:spacing w:before="120" w:after="40"/>
      </w:pPr>
      <w:r>
        <w:rPr>
          <w:b/>
          <w:sz w:val="21"/>
          <w:shd w:fill="D6E4F0" w:val="clear"/>
        </w:rPr>
        <w:t>核心解析</w:t>
      </w:r>
    </w:p>
    <w:p>
      <w:pPr>
        <w:spacing w:line="360" w:lineRule="auto" w:after="40"/>
        <w:ind w:firstLine="420"/>
      </w:pPr>
      <w:r>
        <w:t>巴塞尔委员会（BCBS）确立的KYC计划关键要素保持不变，包括四项：客户身份识别、风险管理、客户接纳政策和持续监控</w:t>
      </w:r>
      <w:r>
        <w:rPr>
          <w:sz w:val="15"/>
          <w:vertAlign w:val="superscript"/>
        </w:rPr>
        <w:t>P166</w:t>
      </w:r>
      <w:r>
        <w:t>。题干中新任KYC负责人特别关注强化风险管理，并引用BCBS的CDD原则。选项B“完善客户接受政策，更明确地识别高风险客户”直接对应KYC要素中的客户接纳政策（customer acceptance policy，P166），选项D“加强客户身份识别程序，以适当识别信托、代名和受托账户”直接对应客户身份识别（customer identification，P166）。这两项都是KYC计划关键要素的组成部分，与题干强调的完善风险管理组件这一方向高度吻合。</w:t>
      </w:r>
    </w:p>
    <w:p>
      <w:pPr>
        <w:spacing w:before="120" w:after="40"/>
      </w:pPr>
      <w:r>
        <w:rPr>
          <w:b/>
          <w:sz w:val="21"/>
          <w:shd w:fill="D6E4F0" w:val="clear"/>
        </w:rPr>
        <w:t>A项错误</w:t>
      </w:r>
    </w:p>
    <w:p>
      <w:pPr>
        <w:spacing w:line="360" w:lineRule="auto" w:after="40"/>
        <w:ind w:firstLine="420"/>
      </w:pPr>
      <w:r>
        <w:t>题干和选项A均提及代理行客户。教材中代理行关系的定义是“一家银行作为另一家外国银行的代理行”</w:t>
      </w:r>
      <w:r>
        <w:rPr>
          <w:sz w:val="15"/>
          <w:vertAlign w:val="superscript"/>
        </w:rPr>
        <w:t>P83</w:t>
      </w:r>
      <w:r>
        <w:t>，其核心特征是“保持距离”的间接服务关系。但教材在阐述KYC计划关键要素时并未包含代理行黑名单制度。题干问的是对KYC计划的“关键改进”，选项A更像一项具体管控措施而非KYC计划的构成要素，与教材P166列出的四项关键要素匹配度不如B和D直接。</w:t>
      </w:r>
    </w:p>
    <w:p>
      <w:pPr>
        <w:spacing w:before="120" w:after="40"/>
      </w:pPr>
      <w:r>
        <w:rPr>
          <w:b/>
          <w:sz w:val="21"/>
          <w:shd w:fill="D6E4F0" w:val="clear"/>
        </w:rPr>
        <w:t>C项错误</w:t>
      </w:r>
    </w:p>
    <w:p>
      <w:pPr>
        <w:spacing w:line="360" w:lineRule="auto" w:after="40"/>
        <w:ind w:firstLine="420"/>
      </w:pPr>
      <w:r>
        <w:t>员工培训确实出现在BCBS的原则要点中（staff training，P166），但它是1988年原则声明中列出的六项一般原则之一，而非KYC计划的核心要素。题干问的是KYC计划的“关键改进”（key elements of a KYC program），培训频率的提升与教材列出的四项KYC要素的匹配度不如B和D直接，它更多是支撑性措施而非要素本身。</w:t>
      </w:r>
    </w:p>
    <w:p>
      <w:pPr>
        <w:spacing w:before="120" w:after="40"/>
      </w:pPr>
      <w:r>
        <w:rPr>
          <w:b/>
          <w:sz w:val="21"/>
          <w:shd w:fill="D6E4F0" w:val="clear"/>
        </w:rPr>
        <w:t>易错提醒</w:t>
      </w:r>
    </w:p>
    <w:p>
      <w:pPr>
        <w:spacing w:line="360" w:lineRule="auto" w:after="40"/>
        <w:ind w:firstLine="420"/>
      </w:pPr>
      <w:r>
        <w:t>P166页的KYC四要素（客户接纳政策、客户身份识别、风险管理、持续监控）与BCBS一般原则要点（如员工培训、记录保存、遵守法律等）分属不同层级。四要素是KYC计划的组成部件，培训等原则要点是运行这些部件的保障措施。题干问“KYC计划的关键改进”应锁定四要素。</w:t>
      </w:r>
    </w:p>
    <w:p>
      <w:pPr>
        <w:spacing w:line="360" w:lineRule="auto" w:after="120"/>
      </w:pPr>
      <w:r/>
    </w:p>
    <w:p>
      <w:pPr>
        <w:spacing w:line="360" w:lineRule="auto" w:after="40"/>
      </w:pPr>
      <w:r>
        <w:t>14. 一家银行因未能采取合理措施建立和维持针对高风险客户（包括政治公众人物）的有效系统和控制措施而被罚款。银行本应防范哪些典型的金融犯罪风险？（选择三项。） ( )</w:t>
      </w:r>
    </w:p>
    <w:p>
      <w:pPr>
        <w:spacing w:line="360" w:lineRule="auto" w:after="20"/>
        <w:ind w:firstLine="283"/>
      </w:pPr>
      <w:r>
        <w:t>A. 收集足够信息以确定资金和财富来源。</w:t>
      </w:r>
    </w:p>
    <w:p>
      <w:pPr>
        <w:spacing w:line="360" w:lineRule="auto" w:after="20"/>
        <w:ind w:firstLine="283"/>
      </w:pPr>
      <w:r>
        <w:t>B. 评估潜在及现有高风险客户所构成的洗钱风险水平。</w:t>
      </w:r>
    </w:p>
    <w:p>
      <w:pPr>
        <w:spacing w:line="360" w:lineRule="auto" w:after="20"/>
        <w:ind w:firstLine="283"/>
      </w:pPr>
      <w:r>
        <w:t>C. 评估并审查负责客户入职的相关委员会会议纪要。</w:t>
      </w:r>
    </w:p>
    <w:p>
      <w:pPr>
        <w:spacing w:line="360" w:lineRule="auto" w:after="20"/>
        <w:ind w:firstLine="283"/>
      </w:pPr>
      <w:r>
        <w:t>D. 确保有员工负责与有关当局联络，处理反恐融资相关事宜。</w:t>
      </w:r>
    </w:p>
    <w:p>
      <w:pPr>
        <w:spacing w:line="360" w:lineRule="auto" w:after="20"/>
        <w:ind w:firstLine="283"/>
      </w:pPr>
      <w:r>
        <w:t>E. 确保其合规和反洗钱领域的资源与银行的发展同步增长。</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针对高风险客户（含PEPs）的强化尽职调查（EDD）要求</w:t>
      </w:r>
    </w:p>
    <w:p>
      <w:pPr>
        <w:spacing w:before="120" w:after="40"/>
      </w:pPr>
      <w:r>
        <w:rPr>
          <w:b/>
          <w:sz w:val="21"/>
          <w:shd w:fill="D6E4F0" w:val="clear"/>
        </w:rPr>
        <w:t>核心解析</w:t>
      </w:r>
    </w:p>
    <w:p>
      <w:pPr>
        <w:spacing w:line="360" w:lineRule="auto" w:after="40"/>
        <w:ind w:firstLine="420"/>
      </w:pPr>
      <w:r>
        <w:t>沃尔夫斯堡集团指引要求银行对高风险客户特别是政治公众人物实施强化尽职调查（Enhanced Due Diligence, EDD），包括核实客户身份并评估其风险状况</w:t>
      </w:r>
      <w:r>
        <w:rPr>
          <w:sz w:val="15"/>
          <w:vertAlign w:val="superscript"/>
        </w:rPr>
        <w:t>P168</w:t>
      </w:r>
      <w:r>
        <w:t>，以及调查并记录客户财富来源与资金来源</w:t>
      </w:r>
      <w:r>
        <w:rPr>
          <w:sz w:val="15"/>
          <w:vertAlign w:val="superscript"/>
        </w:rPr>
        <w:t>P169</w:t>
      </w:r>
      <w:r>
        <w:t>。同时，监管案例显示反洗钱项目若长期资金不足、资源未跟上业务扩张，将导致系统与控制缺陷</w:t>
      </w:r>
      <w:r>
        <w:rPr>
          <w:sz w:val="15"/>
          <w:vertAlign w:val="superscript"/>
        </w:rPr>
        <w:t>P242、P266</w:t>
      </w:r>
      <w:r>
        <w:t>。题干中银行因未能对高风险客户（包括PEPs）建立有效系统和控制而被罚款，直接反映出银行未履行上述EDD义务。因此，银行本应收集足够信息以确定资金和财富来源（A），评估潜在及现有高风险客户的洗钱风险水平（B），并确保合规与反洗钱资源与银行发展同步增长（E）。</w:t>
      </w:r>
    </w:p>
    <w:p>
      <w:pPr>
        <w:spacing w:before="120" w:after="40"/>
      </w:pPr>
      <w:r>
        <w:rPr>
          <w:b/>
          <w:sz w:val="21"/>
          <w:shd w:fill="D6E4F0" w:val="clear"/>
        </w:rPr>
        <w:t>教材原句</w:t>
      </w:r>
    </w:p>
    <w:p>
      <w:pPr>
        <w:spacing w:line="360" w:lineRule="auto" w:after="40"/>
        <w:ind w:firstLine="420"/>
      </w:pPr>
      <w:r>
        <w:t>"Due diligence: Banks should apply enhanced scrutiny for high-risk customers, particularly PEPs."</w:t>
      </w:r>
    </w:p>
    <w:p>
      <w:pPr>
        <w:spacing w:before="120" w:after="40"/>
      </w:pPr>
      <w:r>
        <w:rPr>
          <w:b/>
          <w:sz w:val="21"/>
          <w:shd w:fill="D6E4F0" w:val="clear"/>
        </w:rPr>
        <w:t>C项错误</w:t>
      </w:r>
    </w:p>
    <w:p>
      <w:pPr>
        <w:spacing w:line="360" w:lineRule="auto" w:after="40"/>
        <w:ind w:firstLine="420"/>
      </w:pPr>
      <w:r>
        <w:t>审查委员会会议纪要属于内部治理监督措施</w:t>
      </w:r>
      <w:r>
        <w:rPr>
          <w:sz w:val="15"/>
          <w:vertAlign w:val="superscript"/>
        </w:rPr>
        <w:t>P294</w:t>
      </w:r>
      <w:r>
        <w:t>，其直接目标不是防范高风险客户本身的洗钱风险，而是确保治理流程可被审计。相比之下，正确项A、B、E直接对应EDD的核心动作，与题干“针对高风险客户建立有效系统和控制”的匹配度更高。</w:t>
      </w:r>
    </w:p>
    <w:p>
      <w:pPr>
        <w:spacing w:before="120" w:after="40"/>
      </w:pPr>
      <w:r>
        <w:rPr>
          <w:b/>
          <w:sz w:val="21"/>
          <w:shd w:fill="D6E4F0" w:val="clear"/>
        </w:rPr>
        <w:t>D项错误</w:t>
      </w:r>
    </w:p>
    <w:p>
      <w:pPr>
        <w:spacing w:line="360" w:lineRule="auto" w:after="40"/>
        <w:ind w:firstLine="420"/>
      </w:pPr>
      <w:r>
        <w:t>选项要求指定员工负责反恐融资相关联络，这是一般性合规职能，并非专门针对高风险客户或PEPs的防范措施。教材对高风险客户强调的资金来源核实、风险评估和资源保障（A、B、E）与题干场景的贴合度更直接。</w:t>
      </w:r>
    </w:p>
    <w:p>
      <w:pPr>
        <w:spacing w:before="120" w:after="40"/>
      </w:pPr>
      <w:r>
        <w:rPr>
          <w:b/>
          <w:sz w:val="21"/>
          <w:shd w:fill="D6E4F0" w:val="clear"/>
        </w:rPr>
        <w:t>易错提醒</w:t>
      </w:r>
    </w:p>
    <w:p>
      <w:pPr>
        <w:spacing w:line="360" w:lineRule="auto" w:after="40"/>
        <w:ind w:firstLine="420"/>
      </w:pPr>
      <w:r>
        <w:t>容易将普遍性反洗钱合规要求（如员工培训、与当局联络）与针对高风险客户的特殊EDD要求混淆。高风险客户的EDD核心在于核实资金来源/财富来源、评估洗钱风险水平，并配备充足资源持续监控，这些在教材中有明确指引（P168–169）。题干强调“针对高风险客户”，故应优先选择与客户风险评估和资金验证直接相关的措施。</w:t>
      </w:r>
    </w:p>
    <w:p>
      <w:pPr>
        <w:spacing w:line="360" w:lineRule="auto" w:after="120"/>
      </w:pPr>
      <w:r/>
    </w:p>
    <w:p>
      <w:pPr>
        <w:spacing w:line="360" w:lineRule="auto" w:after="40"/>
      </w:pPr>
      <w:r>
        <w:t>15. 联合国制定制裁制度的主要目标包括:(选择三项.) ( )</w:t>
      </w:r>
    </w:p>
    <w:p>
      <w:pPr>
        <w:spacing w:line="360" w:lineRule="auto" w:after="20"/>
        <w:ind w:firstLine="283"/>
      </w:pPr>
      <w:r>
        <w:t>A. 强迫发展中国家采用自由民主或实质民主.</w:t>
      </w:r>
    </w:p>
    <w:p>
      <w:pPr>
        <w:spacing w:line="360" w:lineRule="auto" w:after="20"/>
        <w:ind w:firstLine="283"/>
      </w:pPr>
      <w:r>
        <w:t>B. 支持各国政府和政权和平解决冲突.</w:t>
      </w:r>
    </w:p>
    <w:p>
      <w:pPr>
        <w:spacing w:line="360" w:lineRule="auto" w:after="20"/>
        <w:ind w:firstLine="283"/>
      </w:pPr>
      <w:r>
        <w:t>C. 对那些在金融犯罪管控方面存在薄弱环节的政府进行惩罚.</w:t>
      </w:r>
    </w:p>
    <w:p>
      <w:pPr>
        <w:spacing w:line="360" w:lineRule="auto" w:after="20"/>
        <w:ind w:firstLine="283"/>
      </w:pPr>
      <w:r>
        <w:t>D. 以遏制各国国内出现非民主和非宪法的变革.</w:t>
      </w:r>
    </w:p>
    <w:p>
      <w:pPr>
        <w:spacing w:line="360" w:lineRule="auto" w:after="20"/>
        <w:ind w:firstLine="283"/>
      </w:pPr>
      <w:r>
        <w:t>E. 以支持对人权的保护</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联合国制裁制度的核心目标，即促进国际和平与安全及保护人权。</w:t>
      </w:r>
    </w:p>
    <w:p>
      <w:pPr>
        <w:spacing w:before="120" w:after="40"/>
      </w:pPr>
      <w:r>
        <w:rPr>
          <w:b/>
          <w:sz w:val="21"/>
          <w:shd w:fill="D6E4F0" w:val="clear"/>
        </w:rPr>
        <w:t>核心解析</w:t>
      </w:r>
    </w:p>
    <w:p>
      <w:pPr>
        <w:spacing w:line="360" w:lineRule="auto" w:after="40"/>
        <w:ind w:firstLine="420"/>
      </w:pPr>
      <w:r>
        <w:t>联合国议程的核心是维护全球和平与安全、提供人道主义援助、维护人权和国际法</w:t>
      </w:r>
      <w:r>
        <w:rPr>
          <w:sz w:val="15"/>
          <w:vertAlign w:val="superscript"/>
        </w:rPr>
        <w:t>P160</w:t>
      </w:r>
      <w:r>
        <w:t>。其建立制裁制度的具体权力来源于《联合国宪章》，目标是促进国际和平与安全</w:t>
      </w:r>
      <w:r>
        <w:rPr>
          <w:sz w:val="15"/>
          <w:vertAlign w:val="superscript"/>
        </w:rPr>
        <w:t>P206</w:t>
      </w:r>
      <w:r>
        <w:t>。由这两个根基可推断，联合国制定制裁制度的主要目标必然服务于其核心使命。选项B“支持和平解决冲突”直接对应维护和平与安全的使命，是对P206目标的直接阐述。选项E“支持对人权的保护”则直接对应联合国议程中维护人权的使命</w:t>
      </w:r>
      <w:r>
        <w:rPr>
          <w:sz w:val="15"/>
          <w:vertAlign w:val="superscript"/>
        </w:rPr>
        <w:t>P160</w:t>
      </w:r>
      <w:r>
        <w:t>。选项D“遏制各国国内出现非民主和非宪法的变革”虽然字面上未在教材中被列为单独条目，但这类非常规权力更迭通常伴随冲突，对国际和平与安全构成威胁，因此这一目标是联合国维护国际和平与安全这一总目标下的具体体现，在本题条件下与联合国使命高度吻合。</w:t>
      </w:r>
    </w:p>
    <w:p>
      <w:pPr>
        <w:spacing w:before="120" w:after="40"/>
      </w:pPr>
      <w:r>
        <w:rPr>
          <w:b/>
          <w:sz w:val="21"/>
          <w:shd w:fill="D6E4F0" w:val="clear"/>
        </w:rPr>
        <w:t>教材原句</w:t>
      </w:r>
    </w:p>
    <w:p>
      <w:pPr>
        <w:spacing w:line="360" w:lineRule="auto" w:after="40"/>
        <w:ind w:firstLine="420"/>
      </w:pPr>
      <w:r>
        <w:t>"The UN’s agenda includes maintaining global peace and security, providing humanitarian assistance, upholding human rights, and maintaining international law."</w:t>
      </w:r>
    </w:p>
    <w:p>
      <w:pPr>
        <w:spacing w:before="120" w:after="40"/>
      </w:pPr>
      <w:r>
        <w:rPr>
          <w:b/>
          <w:sz w:val="21"/>
          <w:shd w:fill="D6E4F0" w:val="clear"/>
        </w:rPr>
        <w:t>A项错误</w:t>
      </w:r>
    </w:p>
    <w:p>
      <w:pPr>
        <w:spacing w:line="360" w:lineRule="auto" w:after="40"/>
        <w:ind w:firstLine="420"/>
      </w:pPr>
      <w:r>
        <w:t>教材明确指出联合国不是世界政府，不制定法律</w:t>
      </w:r>
      <w:r>
        <w:rPr>
          <w:sz w:val="15"/>
          <w:vertAlign w:val="superscript"/>
        </w:rPr>
        <w:t>P160</w:t>
      </w:r>
      <w:r>
        <w:t>，其核心议程是维护和平与人权，而非推动特定政治制度</w:t>
      </w:r>
      <w:r>
        <w:rPr>
          <w:sz w:val="15"/>
          <w:vertAlign w:val="superscript"/>
        </w:rPr>
        <w:t>P160</w:t>
      </w:r>
      <w:r>
        <w:t>。相比之下，强迫他国采纳某种民主制度，超出了联合国促进和平、维护人权的核心使命框架。</w:t>
      </w:r>
    </w:p>
    <w:p>
      <w:pPr>
        <w:spacing w:before="120" w:after="40"/>
      </w:pPr>
      <w:r>
        <w:rPr>
          <w:b/>
          <w:sz w:val="21"/>
          <w:shd w:fill="D6E4F0" w:val="clear"/>
        </w:rPr>
        <w:t>C项错误</w:t>
      </w:r>
    </w:p>
    <w:p>
      <w:pPr>
        <w:spacing w:line="360" w:lineRule="auto" w:after="40"/>
        <w:ind w:firstLine="420"/>
      </w:pPr>
      <w:r>
        <w:t>题干问的是“制裁制度”的目标，教材将制裁制度的权力明确划归为促进国际和平与安全</w:t>
      </w:r>
      <w:r>
        <w:rPr>
          <w:sz w:val="15"/>
          <w:vertAlign w:val="superscript"/>
        </w:rPr>
        <w:t>P206</w:t>
      </w:r>
      <w:r>
        <w:t>。“惩罚金融犯罪管控薄弱环节”更接近FATF等标准制定机构或一国监管机构在执行反洗钱/反恐怖融资合规方面的关注点，与联合国制裁制度维护和平与人权的直接目标匹配度较低。</w:t>
      </w:r>
    </w:p>
    <w:p>
      <w:pPr>
        <w:spacing w:before="120" w:after="40"/>
      </w:pPr>
      <w:r>
        <w:rPr>
          <w:b/>
          <w:sz w:val="21"/>
          <w:shd w:fill="D6E4F0" w:val="clear"/>
        </w:rPr>
        <w:t>易错提醒</w:t>
      </w:r>
    </w:p>
    <w:p>
      <w:pPr>
        <w:spacing w:line="360" w:lineRule="auto" w:after="40"/>
        <w:ind w:firstLine="420"/>
      </w:pPr>
      <w:r>
        <w:t>选项C所代表的“金融犯罪合规”职能与联合国“制裁制度”的核心目标容易混淆。前者侧重于金融体系的监管和完整性问题</w:t>
      </w:r>
      <w:r>
        <w:rPr>
          <w:sz w:val="15"/>
          <w:vertAlign w:val="superscript"/>
        </w:rPr>
        <w:t>P43</w:t>
      </w:r>
      <w:r>
        <w:t>，后者则服务于更宏观的国际和平与安全以及人权目标（P160, P206）。</w:t>
      </w:r>
    </w:p>
    <w:p>
      <w:pPr>
        <w:spacing w:line="360" w:lineRule="auto" w:after="120"/>
      </w:pPr>
      <w:r/>
    </w:p>
    <w:p>
      <w:pPr>
        <w:spacing w:line="360" w:lineRule="auto" w:after="40"/>
      </w:pPr>
      <w:r>
        <w:t>16. 金融情报机构(FIU)埃格蒙特集团的哪些原则旨在最大限度地促进FIU之间的合作,以更有效地打击洗钱活动？(选择两项.) ( )</w:t>
      </w:r>
    </w:p>
    <w:p>
      <w:pPr>
        <w:spacing w:line="360" w:lineRule="auto" w:after="20"/>
        <w:ind w:firstLine="283"/>
      </w:pPr>
      <w:r>
        <w:t>A. 消除金融情报机构之间自发的信息共享,以减轻过多调查工作的负担</w:t>
      </w:r>
    </w:p>
    <w:p>
      <w:pPr>
        <w:spacing w:line="360" w:lineRule="auto" w:after="20"/>
        <w:ind w:firstLine="283"/>
      </w:pPr>
      <w:r>
        <w:t>B. 金融情报机构之间的合作应始终通过指定的中间机构进行.</w:t>
      </w:r>
    </w:p>
    <w:p>
      <w:pPr>
        <w:spacing w:line="360" w:lineRule="auto" w:after="20"/>
        <w:ind w:firstLine="283"/>
      </w:pPr>
      <w:r>
        <w:t>C. 信息交流应当以非正式的方式进行,不要求太多正式的先决条件.</w:t>
      </w:r>
    </w:p>
    <w:p>
      <w:pPr>
        <w:spacing w:line="360" w:lineRule="auto" w:after="20"/>
        <w:ind w:firstLine="283"/>
      </w:pPr>
      <w:r>
        <w:t>D. 正式的埃格蒙特集团成员资格要求确保了符合条件的金融情报机构的高参与度</w:t>
      </w:r>
    </w:p>
    <w:p>
      <w:pPr>
        <w:spacing w:line="360" w:lineRule="auto" w:after="20"/>
        <w:ind w:firstLine="283"/>
      </w:pPr>
      <w:r>
        <w:t>E. 金融情报机构有权独立签署谅解备忘录</w:t>
      </w:r>
    </w:p>
    <w:p>
      <w:pPr>
        <w:spacing w:line="360" w:lineRule="auto" w:after="40"/>
      </w:pPr>
      <w:r>
        <w:t>答案:C、E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识别埃格蒙特集团为最大化FIU合作而确立的核心原则</w:t>
      </w:r>
    </w:p>
    <w:p>
      <w:pPr>
        <w:spacing w:before="120" w:after="40"/>
      </w:pPr>
      <w:r>
        <w:rPr>
          <w:b/>
          <w:sz w:val="21"/>
          <w:shd w:fill="D6E4F0" w:val="clear"/>
        </w:rPr>
        <w:t>核心解析</w:t>
      </w:r>
    </w:p>
    <w:p>
      <w:pPr>
        <w:spacing w:line="360" w:lineRule="auto" w:after="40"/>
        <w:ind w:firstLine="420"/>
      </w:pPr>
      <w:r>
        <w:t>埃格蒙特集团的作用是落实反洗钱/反恐怖融资战略，其政策和指引聚焦于改善合作、增加成员国间信任以允许安全共享敏感信息</w:t>
      </w:r>
      <w:r>
        <w:rPr>
          <w:sz w:val="15"/>
          <w:vertAlign w:val="superscript"/>
        </w:rPr>
        <w:t>P167</w:t>
      </w:r>
      <w:r>
        <w:t>。在此框架下，FATF标准和埃格蒙特原则要求FIU应自发或应请求相互传播金融情报</w:t>
      </w:r>
      <w:r>
        <w:rPr>
          <w:sz w:val="15"/>
          <w:vertAlign w:val="superscript"/>
        </w:rPr>
        <w:t>P231</w:t>
      </w:r>
      <w:r>
        <w:t>，即信息交换宜采用非正式方式、避免过多形式先决条件，这正是选项C的内容。同时，埃格蒙特集团的标准制定职能包括促进FIUs的运作自主权</w:t>
      </w:r>
      <w:r>
        <w:rPr>
          <w:sz w:val="15"/>
          <w:vertAlign w:val="superscript"/>
        </w:rPr>
        <w:t>P167</w:t>
      </w:r>
      <w:r>
        <w:t>，这赋予FIU独立签署谅解备忘录等协作文件的权力，便于自主建立双边或多边合作渠道，对应选项E。两者均直接旨在通过减少阻碍、增加自主权来最大化FIU之间的合作。</w:t>
      </w:r>
    </w:p>
    <w:p>
      <w:pPr>
        <w:spacing w:before="120" w:after="40"/>
      </w:pPr>
      <w:r>
        <w:rPr>
          <w:b/>
          <w:sz w:val="21"/>
          <w:shd w:fill="D6E4F0" w:val="clear"/>
        </w:rPr>
        <w:t>教材原句</w:t>
      </w:r>
    </w:p>
    <w:p>
      <w:pPr>
        <w:spacing w:line="360" w:lineRule="auto" w:after="40"/>
        <w:ind w:firstLine="420"/>
      </w:pPr>
      <w:r>
        <w:t>"The Egmont Group’s role is to operationalize AML/CFT strategy. Their policies and guidance focus on improving cooperation and increasing the level of trust between jurisdictions to allow for the secure sharing of sensitive information."</w:t>
      </w:r>
    </w:p>
    <w:p>
      <w:pPr>
        <w:spacing w:before="120" w:after="40"/>
      </w:pPr>
      <w:r>
        <w:rPr>
          <w:b/>
          <w:sz w:val="21"/>
          <w:shd w:fill="D6E4F0" w:val="clear"/>
        </w:rPr>
        <w:t>A项错误</w:t>
      </w:r>
    </w:p>
    <w:p>
      <w:pPr>
        <w:spacing w:line="360" w:lineRule="auto" w:after="40"/>
        <w:ind w:firstLine="420"/>
      </w:pPr>
      <w:r>
        <w:t>教材明确规定FIU应自发或应请求相互传播金融情报</w:t>
      </w:r>
      <w:r>
        <w:rPr>
          <w:sz w:val="15"/>
          <w:vertAlign w:val="superscript"/>
        </w:rPr>
        <w:t>P231</w:t>
      </w:r>
      <w:r>
        <w:t>，“消除自发信息共享”与埃格蒙特集团鼓励主动、非正式交换的原则背道而驰，相比之下C的非正式交流更直接服务于合作最大化。</w:t>
      </w:r>
    </w:p>
    <w:p>
      <w:pPr>
        <w:spacing w:before="120" w:after="40"/>
      </w:pPr>
      <w:r>
        <w:rPr>
          <w:b/>
          <w:sz w:val="21"/>
          <w:shd w:fill="D6E4F0" w:val="clear"/>
        </w:rPr>
        <w:t>B项错误</w:t>
      </w:r>
    </w:p>
    <w:p>
      <w:pPr>
        <w:spacing w:line="360" w:lineRule="auto" w:after="40"/>
        <w:ind w:firstLine="420"/>
      </w:pPr>
      <w:r>
        <w:t>埃格蒙特集团重视直接、安全的情报共享</w:t>
      </w:r>
      <w:r>
        <w:rPr>
          <w:sz w:val="15"/>
          <w:vertAlign w:val="superscript"/>
        </w:rPr>
        <w:t>P167</w:t>
      </w:r>
      <w:r>
        <w:t>，并未要求合作一律经过指定中间机构，C的非正式直接交换和E的自主签署备忘录都比强制中介渠道更吻合增强信任与效率的原则。</w:t>
      </w:r>
    </w:p>
    <w:p>
      <w:pPr>
        <w:spacing w:before="120" w:after="40"/>
      </w:pPr>
      <w:r>
        <w:rPr>
          <w:b/>
          <w:sz w:val="21"/>
          <w:shd w:fill="D6E4F0" w:val="clear"/>
        </w:rPr>
        <w:t>D项错误</w:t>
      </w:r>
    </w:p>
    <w:p>
      <w:pPr>
        <w:spacing w:line="360" w:lineRule="auto" w:after="40"/>
        <w:ind w:firstLine="420"/>
      </w:pPr>
      <w:r>
        <w:t>题干问的是哪些原则旨在最大化合作，而成员资格要求主要涉及加入标准，并不直接规定成员间如何交换信息或建立协作渠道；C和E分别从非正式交换和自主签约两方面直接促进合作，匹配度更高。</w:t>
      </w:r>
    </w:p>
    <w:p>
      <w:pPr>
        <w:spacing w:before="120" w:after="40"/>
      </w:pPr>
      <w:r>
        <w:rPr>
          <w:b/>
          <w:sz w:val="21"/>
          <w:shd w:fill="D6E4F0" w:val="clear"/>
        </w:rPr>
        <w:t>易错提醒</w:t>
      </w:r>
    </w:p>
    <w:p>
      <w:pPr>
        <w:spacing w:line="360" w:lineRule="auto" w:after="40"/>
        <w:ind w:firstLine="420"/>
      </w:pPr>
      <w:r>
        <w:t>学生容易误以为跨国合作必须依赖正式条约。实际上，埃格蒙特集团特别鼓励非正式、自发的信息共享</w:t>
      </w:r>
      <w:r>
        <w:rPr>
          <w:sz w:val="15"/>
          <w:vertAlign w:val="superscript"/>
        </w:rPr>
        <w:t>P231</w:t>
      </w:r>
      <w:r>
        <w:t>，并支持FIU通过运作自主权独立签署谅解备忘录</w:t>
      </w:r>
      <w:r>
        <w:rPr>
          <w:sz w:val="15"/>
          <w:vertAlign w:val="superscript"/>
        </w:rPr>
        <w:t>P167、P233</w:t>
      </w:r>
      <w:r>
        <w:t>，从而绕过繁重程序，快速实现合作最大化。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