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pPr>
      <w:r>
        <w:t>试卷名称:CAMS CH06</w:t>
      </w:r>
    </w:p>
    <w:p>
      <w:pPr>
        <w:spacing w:line="360" w:lineRule="auto" w:after="160"/>
      </w:pPr>
      <w:r>
        <w:t>一、单项选择题</w:t>
      </w:r>
    </w:p>
    <w:p>
      <w:pPr>
        <w:spacing w:line="360" w:lineRule="auto" w:after="40"/>
      </w:pPr>
      <w:r>
        <w:t>1. 一家大型国际金融机构在美国和欧盟均有业务.一笔涉及一位拥有美国和法国双重国籍的高净值客户的跨境交易因其中介机构位于高风险地区而引发担忧.鉴于该交易受美国《银行保密法》(BSA)和美国海外资产控制办公室(OFAC)的要求以及欧盟《第六项反洗钱指令》(6AMLD)和欧洲银行管理局(EBA)法规的约束,合规团队应采取何种最佳措施来确保合规？ ( )</w:t>
      </w:r>
    </w:p>
    <w:p>
      <w:pPr>
        <w:spacing w:line="360" w:lineRule="auto" w:after="20"/>
        <w:ind w:firstLine="283"/>
      </w:pPr>
      <w:r>
        <w:t>A. 仅遵循欧盟法规,因为受益人位于法国</w:t>
      </w:r>
    </w:p>
    <w:p>
      <w:pPr>
        <w:spacing w:line="360" w:lineRule="auto" w:after="20"/>
        <w:ind w:firstLine="283"/>
      </w:pPr>
      <w:r>
        <w:t>B. 实施一种同时满足美国和欧盟AFC规定的双重合规方法</w:t>
      </w:r>
    </w:p>
    <w:p>
      <w:pPr>
        <w:spacing w:line="360" w:lineRule="auto" w:after="20"/>
        <w:ind w:firstLine="283"/>
      </w:pPr>
      <w:r>
        <w:t>C. 遵从最严格的监管制度以简化合规流程</w:t>
      </w:r>
    </w:p>
    <w:p>
      <w:pPr>
        <w:spacing w:line="360" w:lineRule="auto" w:after="20"/>
        <w:ind w:firstLine="283"/>
      </w:pPr>
      <w:r>
        <w:t>D. 仅遵循美国法规,因为交易起源于美国</w:t>
      </w:r>
    </w:p>
    <w:p>
      <w:pPr>
        <w:spacing w:line="360" w:lineRule="auto" w:after="40"/>
      </w:pPr>
      <w:r>
        <w:t>答案:B</w:t>
      </w:r>
    </w:p>
    <w:p>
      <w:pPr>
        <w:spacing w:line="360" w:lineRule="auto" w:after="40"/>
      </w:pPr>
      <w:r>
        <w:t>解析：</w:t>
      </w:r>
    </w:p>
    <w:p>
      <w:pPr>
        <w:spacing w:before="120" w:after="40"/>
      </w:pPr>
      <w:r>
        <w:rPr>
          <w:b/>
          <w:sz w:val="21"/>
          <w:shd w:fill="D6E4F0" w:val="clear"/>
        </w:rPr>
        <w:t>考点</w:t>
      </w:r>
    </w:p>
    <w:p>
      <w:pPr>
        <w:spacing w:line="360" w:lineRule="auto" w:after="40"/>
        <w:ind w:firstLine="420"/>
      </w:pPr>
      <w:r>
        <w:t>跨境交易须同时满足所有涉及司法辖区的AFC合规要求</w:t>
      </w:r>
    </w:p>
    <w:p>
      <w:pPr>
        <w:spacing w:before="120" w:after="40"/>
      </w:pPr>
      <w:r>
        <w:rPr>
          <w:b/>
          <w:sz w:val="21"/>
          <w:shd w:fill="D6E4F0" w:val="clear"/>
        </w:rPr>
        <w:t>核心解析</w:t>
      </w:r>
    </w:p>
    <w:p>
      <w:pPr>
        <w:spacing w:line="360" w:lineRule="auto" w:after="40"/>
        <w:ind w:firstLine="420"/>
      </w:pPr>
      <w:r>
        <w:t>跨境合规要求金融机构协调多个司法管辖区的法律法规，不能只选择其中一个。教材在Hiroshi案例中明确指出，当跨境交易涉及美国和欧盟时，合规人员必须同时参考两个地区的AFC法规</w:t>
      </w:r>
      <w:r>
        <w:rPr>
          <w:sz w:val="15"/>
          <w:vertAlign w:val="superscript"/>
        </w:rPr>
        <w:t>P178</w:t>
      </w:r>
      <w:r>
        <w:t>。此外，金融机构须遵守FinCEN、OFAC、欧盟反洗钱指令等多个监管机构规定的金融犯罪防控义务</w:t>
      </w:r>
      <w:r>
        <w:rPr>
          <w:sz w:val="15"/>
          <w:vertAlign w:val="superscript"/>
        </w:rPr>
        <w:t>P319</w:t>
      </w:r>
      <w:r>
        <w:t>。本题中，金融机构同时在美欧运营，客户拥有美法双重国籍，交易触发美国BSA/OFAC和欧盟6AMLD/EBA的双重监管，最直接的做法是实施同时满足双方要求的双重合规方法，以全面覆盖所有适用法规。</w:t>
      </w:r>
    </w:p>
    <w:p>
      <w:pPr>
        <w:spacing w:before="120" w:after="40"/>
      </w:pPr>
      <w:r>
        <w:rPr>
          <w:b/>
          <w:sz w:val="21"/>
          <w:shd w:fill="D6E4F0" w:val="clear"/>
        </w:rPr>
        <w:t>教材原句</w:t>
      </w:r>
    </w:p>
    <w:p>
      <w:pPr>
        <w:spacing w:line="360" w:lineRule="auto" w:after="40"/>
        <w:ind w:firstLine="420"/>
      </w:pPr>
      <w:r>
        <w:t>"Hiroshi references the AFC regulations in both the US and EU because some of the cross-border transactions involve those jurisdictions."</w:t>
      </w:r>
    </w:p>
    <w:p>
      <w:pPr>
        <w:spacing w:before="120" w:after="40"/>
      </w:pPr>
      <w:r>
        <w:rPr>
          <w:b/>
          <w:sz w:val="21"/>
          <w:shd w:fill="D6E4F0" w:val="clear"/>
        </w:rPr>
        <w:t>A项错误</w:t>
      </w:r>
    </w:p>
    <w:p>
      <w:pPr>
        <w:spacing w:line="360" w:lineRule="auto" w:after="40"/>
        <w:ind w:firstLine="420"/>
      </w:pPr>
      <w:r>
        <w:t>教材强调跨境反洗钱合规需协调多个辖区的法律差异</w:t>
      </w:r>
      <w:r>
        <w:rPr>
          <w:sz w:val="15"/>
          <w:vertAlign w:val="superscript"/>
        </w:rPr>
        <w:t>P21</w:t>
      </w:r>
      <w:r>
        <w:t>，仅因受益人位于法国而忽视美国BSA/OFAC要求，会遗漏交易涉及的另一半监管框架，不如B项能完整覆盖所有适用法规。</w:t>
      </w:r>
    </w:p>
    <w:p>
      <w:pPr>
        <w:spacing w:before="120" w:after="40"/>
      </w:pPr>
      <w:r>
        <w:rPr>
          <w:b/>
          <w:sz w:val="21"/>
          <w:shd w:fill="D6E4F0" w:val="clear"/>
        </w:rPr>
        <w:t>C项错误</w:t>
      </w:r>
    </w:p>
    <w:p>
      <w:pPr>
        <w:spacing w:line="360" w:lineRule="auto" w:after="40"/>
        <w:ind w:firstLine="420"/>
      </w:pPr>
      <w:r>
        <w:t>教材指出不同司法管辖区标准差异较大，金融机构通常通过附加辖区附录来处理，而非简单采用最严格制度</w:t>
      </w:r>
      <w:r>
        <w:rPr>
          <w:sz w:val="15"/>
          <w:vertAlign w:val="superscript"/>
        </w:rPr>
        <w:t>P194</w:t>
      </w:r>
      <w:r>
        <w:t>。且题干并未要求简化流程，核心是确保合规，直接遵循最严格制度可能无法精准对接每一项具体要求，匹配度不如双重合规方法。</w:t>
      </w:r>
    </w:p>
    <w:p>
      <w:pPr>
        <w:spacing w:before="120" w:after="40"/>
      </w:pPr>
      <w:r>
        <w:rPr>
          <w:b/>
          <w:sz w:val="21"/>
          <w:shd w:fill="D6E4F0" w:val="clear"/>
        </w:rPr>
        <w:t>D项错误</w:t>
      </w:r>
    </w:p>
    <w:p>
      <w:pPr>
        <w:spacing w:line="360" w:lineRule="auto" w:after="40"/>
        <w:ind w:firstLine="420"/>
      </w:pPr>
      <w:r>
        <w:t>仅以交易起源于美国为由而忽略欧盟法规，与跨境交易须满足所有涉及辖区要求的原则相悖。题干明确列出欧盟法规适用，且客户有法国国籍，双重合规方法比单一辖区选择更契合教材所述的多辖区协调原则。</w:t>
      </w:r>
    </w:p>
    <w:p>
      <w:pPr>
        <w:spacing w:before="120" w:after="40"/>
      </w:pPr>
      <w:r>
        <w:rPr>
          <w:b/>
          <w:sz w:val="21"/>
          <w:shd w:fill="D6E4F0" w:val="clear"/>
        </w:rPr>
        <w:t>易错提醒</w:t>
      </w:r>
    </w:p>
    <w:p>
      <w:pPr>
        <w:spacing w:line="360" w:lineRule="auto" w:after="40"/>
        <w:ind w:firstLine="420"/>
      </w:pPr>
      <w:r>
        <w:t>多辖区合规不是“选最严格”或“选一个”，而是确保控制措施同时覆盖所有适用辖区的法规要求</w:t>
      </w:r>
      <w:r>
        <w:rPr>
          <w:sz w:val="15"/>
          <w:vertAlign w:val="superscript"/>
        </w:rPr>
        <w:t>P194</w:t>
      </w:r>
      <w:r>
        <w:t>。当交易受多国法律管辖时，单一辖区路径必然导致合规缺口。</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