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w:t>
      </w:r>
    </w:p>
    <w:p>
      <w:pPr>
        <w:spacing w:line="360" w:lineRule="auto" w:after="160"/>
      </w:pPr>
      <w:r>
        <w:t>一、单项选择题</w:t>
      </w:r>
    </w:p>
    <w:p>
      <w:pPr>
        <w:spacing w:line="360" w:lineRule="auto" w:after="40"/>
      </w:pPr>
      <w:r>
        <w:t>1. 欧盟《第六项反洗钱指令》(6AMLD): ( )</w:t>
      </w:r>
    </w:p>
    <w:p>
      <w:pPr>
        <w:spacing w:line="360" w:lineRule="auto" w:after="20"/>
        <w:ind w:firstLine="283"/>
      </w:pPr>
      <w:r>
        <w:t>A. 将反洗钱监管范围扩大至众筹平台和职业足球俱乐部</w:t>
      </w:r>
    </w:p>
    <w:p>
      <w:pPr>
        <w:spacing w:line="360" w:lineRule="auto" w:after="20"/>
        <w:ind w:firstLine="283"/>
      </w:pPr>
      <w:r>
        <w:t>B. 取消了要求欧盟委员会进行风险评估的规定</w:t>
      </w:r>
    </w:p>
    <w:p>
      <w:pPr>
        <w:spacing w:line="360" w:lineRule="auto" w:after="20"/>
        <w:ind w:firstLine="283"/>
      </w:pPr>
      <w:r>
        <w:t>C. 设立了一个欧盟中央监管机构来打击洗钱活动</w:t>
      </w:r>
    </w:p>
    <w:p>
      <w:pPr>
        <w:spacing w:line="360" w:lineRule="auto" w:after="20"/>
        <w:ind w:firstLine="283"/>
      </w:pPr>
      <w:r>
        <w:t>D. 加强有关提交至中央受益所有权登记册的数据准确性的规定</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区分6AMLD这一单一法令与AMLR、AMLA-R等其他法规各自的核心内容</w:t>
      </w:r>
    </w:p>
    <w:p>
      <w:pPr>
        <w:spacing w:before="120" w:after="40"/>
      </w:pPr>
      <w:r>
        <w:rPr>
          <w:b/>
          <w:sz w:val="21"/>
          <w:shd w:fill="D6E4F0" w:val="clear"/>
        </w:rPr>
        <w:t>核心解析</w:t>
      </w:r>
    </w:p>
    <w:p>
      <w:pPr>
        <w:spacing w:line="360" w:lineRule="auto" w:after="40"/>
        <w:ind w:firstLine="420"/>
      </w:pPr>
      <w:r>
        <w:t>第六项反洗钱指令（6AMLD）即Directive (EU) 2024/1640，它建立在先前的反洗钱指令基础上，其核心要求包括：义务实体实施全面的客户尽职调查程序、维护受益所有人信息的中央登记册、以及在国家和超国家层面开展风险评估（P190，。注意题干问的是6AMLD这一具体法令，而非整套欧盟反洗钱改革方案。选项D“加强有关提交至中央受益所有权登记册的数据准确性的规定”直接对应6AMLD中“维护受益所有人中央登记册”这一核心要求，数据准确性是登记册发挥作用的前提，因此D与教材对6AMLD的定义最为吻合。教材中另有事实陈述提到一些国家正在“加强受益所有人法规”（P157，，也呼应了这一方向的重要性。</w:t>
      </w:r>
    </w:p>
    <w:p>
      <w:pPr>
        <w:spacing w:before="120" w:after="40"/>
      </w:pPr>
      <w:r>
        <w:rPr>
          <w:b/>
          <w:sz w:val="21"/>
          <w:shd w:fill="D6E4F0" w:val="clear"/>
        </w:rPr>
        <w:t>A项错误</w:t>
      </w:r>
    </w:p>
    <w:p>
      <w:pPr>
        <w:spacing w:line="360" w:lineRule="auto" w:after="40"/>
        <w:ind w:firstLine="420"/>
      </w:pPr>
      <w:r>
        <w:t>将监管范围扩展至足球经纪人、职业足球俱乐部等，是反洗钱条例（AMLR）的内容，而非6AMLD（P190,。AMLR和6AMLD同属欧盟反洗钱一揽子方案，但题干专门询问6AMLD这一法令，A项所描述的职能属于另一部法规AMLR，匹配度不如D项。</w:t>
      </w:r>
    </w:p>
    <w:p>
      <w:pPr>
        <w:spacing w:before="120" w:after="40"/>
      </w:pPr>
      <w:r>
        <w:rPr>
          <w:b/>
          <w:sz w:val="21"/>
          <w:shd w:fill="D6E4F0" w:val="clear"/>
        </w:rPr>
        <w:t>B项错误</w:t>
      </w:r>
    </w:p>
    <w:p>
      <w:pPr>
        <w:spacing w:line="360" w:lineRule="auto" w:after="40"/>
        <w:ind w:firstLine="420"/>
      </w:pPr>
      <w:r>
        <w:t>6AMLD并未取消风险评估要求，恰恰相反，它要求义务实体开展风险评估（P190,。教材还提到欧盟委员会为应对加密资产风险而制定了MiCA法规（P192,，进一步说明风险评估职能未被取消。该选项与教材事实方向相反。</w:t>
      </w:r>
    </w:p>
    <w:p>
      <w:pPr>
        <w:spacing w:before="120" w:after="40"/>
      </w:pPr>
      <w:r>
        <w:rPr>
          <w:b/>
          <w:sz w:val="21"/>
          <w:shd w:fill="D6E4F0" w:val="clear"/>
        </w:rPr>
        <w:t>C项错误</w:t>
      </w:r>
    </w:p>
    <w:p>
      <w:pPr>
        <w:spacing w:line="360" w:lineRule="auto" w:after="40"/>
        <w:ind w:firstLine="420"/>
      </w:pPr>
      <w:r>
        <w:t>设立欧盟中央反洗钱监管机构（AMLA）是反洗钱管理局条例（AMLA-R）的核心内容，而非6AMLD（P191,、。教材明确指出AMLA-R确立了AMLA，而6AMLD是另一部独立的法令。虽然两者同属改革框架，但题干问的是6AMLD本身，C项将AMLA-R的职能归入6AMLD，不如D项直接。</w:t>
      </w:r>
    </w:p>
    <w:p>
      <w:pPr>
        <w:spacing w:before="120" w:after="40"/>
      </w:pPr>
      <w:r>
        <w:rPr>
          <w:b/>
          <w:sz w:val="21"/>
          <w:shd w:fill="D6E4F0" w:val="clear"/>
        </w:rPr>
        <w:t>易错提醒</w:t>
      </w:r>
    </w:p>
    <w:p>
      <w:pPr>
        <w:spacing w:line="360" w:lineRule="auto" w:after="40"/>
        <w:ind w:firstLine="420"/>
      </w:pPr>
      <w:r>
        <w:t>欧盟反洗钱一揽子方案（EU AML package）包含多部法规和指令：6AMLD（Directive 2024/1640）要求客户尽职调查和受益所有人登记册；AMLR（Regulation 2024/1624）扩大义务实体范围并设定现金限额；AMLA-R（Regulation 2024/1620）设立欧盟反洗钱管理局。做题时注意题干问的是哪一部法令，不要将整个一揽子方案的内容混为一谈。</w:t>
      </w:r>
    </w:p>
    <w:p>
      <w:pPr>
        <w:spacing w:line="360" w:lineRule="auto" w:after="120"/>
      </w:pPr>
      <w:r/>
    </w:p>
    <w:p>
      <w:pPr>
        <w:spacing w:line="360" w:lineRule="auto" w:after="40"/>
      </w:pPr>
      <w:r>
        <w:t>2. 以下哪一项是2024年6月欧盟反洗钱一揽子计划的支柱之一？ ( )</w:t>
      </w:r>
    </w:p>
    <w:p>
      <w:pPr>
        <w:spacing w:line="360" w:lineRule="auto" w:after="20"/>
        <w:ind w:firstLine="283"/>
      </w:pPr>
      <w:r>
        <w:t>A. 数字运营韧性法案</w:t>
      </w:r>
    </w:p>
    <w:p>
      <w:pPr>
        <w:spacing w:line="360" w:lineRule="auto" w:after="20"/>
        <w:ind w:firstLine="283"/>
      </w:pPr>
      <w:r>
        <w:t>B. 反腐败指令</w:t>
      </w:r>
    </w:p>
    <w:p>
      <w:pPr>
        <w:spacing w:line="360" w:lineRule="auto" w:after="20"/>
        <w:ind w:firstLine="283"/>
      </w:pPr>
      <w:r>
        <w:t>C. 欧盟反洗钱法规</w:t>
      </w:r>
    </w:p>
    <w:p>
      <w:pPr>
        <w:spacing w:line="360" w:lineRule="auto" w:after="20"/>
        <w:ind w:firstLine="283"/>
      </w:pPr>
      <w:r>
        <w:t>D. 第七项反洗钱指令</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识别2024年欧盟反洗钱一揽子计划的组成支柱</w:t>
      </w:r>
    </w:p>
    <w:p>
      <w:pPr>
        <w:spacing w:before="120" w:after="40"/>
      </w:pPr>
      <w:r>
        <w:rPr>
          <w:b/>
          <w:sz w:val="21"/>
          <w:shd w:fill="D6E4F0" w:val="clear"/>
        </w:rPr>
        <w:t>核心解析</w:t>
      </w:r>
    </w:p>
    <w:p>
      <w:pPr>
        <w:spacing w:line="360" w:lineRule="auto" w:after="40"/>
        <w:ind w:firstLine="420"/>
      </w:pPr>
      <w:r>
        <w:t>2024年，欧盟通过了被称为“单一规则手册”的反洗钱立法包</w:t>
      </w:r>
      <w:r>
        <w:rPr>
          <w:sz w:val="15"/>
          <w:vertAlign w:val="superscript"/>
        </w:rPr>
        <w:t>P190</w:t>
      </w:r>
      <w:r>
        <w:t>。该一揽子计划包括：第六反洗钱指令（6AMLD）、欧盟反洗钱条例（AMLR）、欧盟反洗钱管理局条例（AMLA-R）以及资金转移条例（FTR）等。题干问及该立法包的支柱，选项C“欧盟反洗钱法规”即对应AMLR，正属所列支柱之一，直接匹配教材事实。</w:t>
      </w:r>
    </w:p>
    <w:p>
      <w:pPr>
        <w:spacing w:before="120" w:after="40"/>
      </w:pPr>
      <w:r>
        <w:rPr>
          <w:b/>
          <w:sz w:val="21"/>
          <w:shd w:fill="D6E4F0" w:val="clear"/>
        </w:rPr>
        <w:t>教材原句</w:t>
      </w:r>
    </w:p>
    <w:p>
      <w:pPr>
        <w:spacing w:line="360" w:lineRule="auto" w:after="40"/>
        <w:ind w:firstLine="420"/>
      </w:pPr>
      <w:r>
        <w:t>"In 2024, the EU adopted a package of AML legislation known as the “Single Rulebook.” The package consists of:"</w:t>
      </w:r>
    </w:p>
    <w:p>
      <w:pPr>
        <w:spacing w:before="120" w:after="40"/>
      </w:pPr>
      <w:r>
        <w:rPr>
          <w:b/>
          <w:sz w:val="21"/>
          <w:shd w:fill="D6E4F0" w:val="clear"/>
        </w:rPr>
        <w:t>A项错误</w:t>
      </w:r>
    </w:p>
    <w:p>
      <w:pPr>
        <w:spacing w:line="360" w:lineRule="auto" w:after="40"/>
        <w:ind w:firstLine="420"/>
      </w:pPr>
      <w:r>
        <w:t>《数字运营韧性法案》（DORA）在教材中属于加强金融服务业网络安全的法规</w:t>
      </w:r>
      <w:r>
        <w:rPr>
          <w:sz w:val="15"/>
          <w:vertAlign w:val="superscript"/>
        </w:rPr>
        <w:t>P210</w:t>
      </w:r>
      <w:r>
        <w:t>，并非2024年反洗钱一揽子计划的组成部分。题干条件更直接支持C，DORA不涉及同一立法包。</w:t>
      </w:r>
    </w:p>
    <w:p>
      <w:pPr>
        <w:spacing w:before="120" w:after="40"/>
      </w:pPr>
      <w:r>
        <w:rPr>
          <w:b/>
          <w:sz w:val="21"/>
          <w:shd w:fill="D6E4F0" w:val="clear"/>
        </w:rPr>
        <w:t>B项错误</w:t>
      </w:r>
    </w:p>
    <w:p>
      <w:pPr>
        <w:spacing w:line="360" w:lineRule="auto" w:after="40"/>
        <w:ind w:firstLine="420"/>
      </w:pPr>
      <w:r>
        <w:t>教材在讨论全球反腐败工作时提及OECD贿赂公约等</w:t>
      </w:r>
      <w:r>
        <w:rPr>
          <w:sz w:val="15"/>
          <w:vertAlign w:val="superscript"/>
        </w:rPr>
        <w:t>P164</w:t>
      </w:r>
      <w:r>
        <w:t>，但未将“反腐败指令”列为2024年反洗钱立法包的内容。题干所指的一揽子计划组件中不包含此项，正确项C更吻合教材列举。</w:t>
      </w:r>
    </w:p>
    <w:p>
      <w:pPr>
        <w:spacing w:before="120" w:after="40"/>
      </w:pPr>
      <w:r>
        <w:rPr>
          <w:b/>
          <w:sz w:val="21"/>
          <w:shd w:fill="D6E4F0" w:val="clear"/>
        </w:rPr>
        <w:t>D项错误</w:t>
      </w:r>
    </w:p>
    <w:p>
      <w:pPr>
        <w:spacing w:line="360" w:lineRule="auto" w:after="40"/>
        <w:ind w:firstLine="420"/>
      </w:pPr>
      <w:r>
        <w:t>教材明确将一揽子计划中的指令定位为“第六反洗钱指令（6AMLD）”</w:t>
      </w:r>
      <w:r>
        <w:rPr>
          <w:sz w:val="15"/>
          <w:vertAlign w:val="superscript"/>
        </w:rPr>
        <w:t>P190</w:t>
      </w:r>
      <w:r>
        <w:t>，而非“第七项”。题干并无依据支持存在第七项指令，C项AMLR与教材事实匹配度更高。</w:t>
      </w:r>
    </w:p>
    <w:p>
      <w:pPr>
        <w:spacing w:before="120" w:after="40"/>
      </w:pPr>
      <w:r>
        <w:rPr>
          <w:b/>
          <w:sz w:val="21"/>
          <w:shd w:fill="D6E4F0" w:val="clear"/>
        </w:rPr>
        <w:t>易错提醒</w:t>
      </w:r>
    </w:p>
    <w:p>
      <w:pPr>
        <w:spacing w:line="360" w:lineRule="auto" w:after="40"/>
        <w:ind w:firstLine="420"/>
      </w:pPr>
      <w:r>
        <w:t>易混淆点：2024年欧盟反洗钱立法包中的指令是第六反洗钱指令（6AMLD），不是第七项。选项D将数字加一，容易误选。</w:t>
      </w:r>
    </w:p>
    <w:p>
      <w:pPr>
        <w:spacing w:line="360" w:lineRule="auto" w:after="120"/>
      </w:pPr>
      <w:r/>
    </w:p>
    <w:p>
      <w:pPr>
        <w:spacing w:line="360" w:lineRule="auto" w:after="40"/>
      </w:pPr>
      <w:r>
        <w:t>3. 一家信贷机构收到了一份初步调查报告,报告指出其在反洗钱义务方面存在重大违规行为,并表示该机构可能面临银行牌照被吊销的风险.这份报告可能是哪个机构发布的？ ( )</w:t>
      </w:r>
    </w:p>
    <w:p>
      <w:pPr>
        <w:spacing w:line="360" w:lineRule="auto" w:after="20"/>
        <w:ind w:firstLine="283"/>
      </w:pPr>
      <w:r>
        <w:t>A. 反洗钱监管机构</w:t>
      </w:r>
    </w:p>
    <w:p>
      <w:pPr>
        <w:spacing w:line="360" w:lineRule="auto" w:after="20"/>
        <w:ind w:firstLine="283"/>
      </w:pPr>
      <w:r>
        <w:t>B. 银行业自律组织</w:t>
      </w:r>
    </w:p>
    <w:p>
      <w:pPr>
        <w:spacing w:line="360" w:lineRule="auto" w:after="20"/>
        <w:ind w:firstLine="283"/>
      </w:pPr>
      <w:r>
        <w:t>C. 执法机关的权力</w:t>
      </w:r>
    </w:p>
    <w:p>
      <w:pPr>
        <w:spacing w:line="360" w:lineRule="auto" w:after="20"/>
        <w:ind w:firstLine="283"/>
      </w:pPr>
      <w:r>
        <w:t>D. 金融行动特别工作组(FATF)</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区分监管机构与执法机关、国际组织、自律组织的职能边界</w:t>
      </w:r>
    </w:p>
    <w:p>
      <w:pPr>
        <w:spacing w:before="120" w:after="40"/>
      </w:pPr>
      <w:r>
        <w:rPr>
          <w:b/>
          <w:sz w:val="21"/>
          <w:shd w:fill="D6E4F0" w:val="clear"/>
        </w:rPr>
        <w:t>核心解析</w:t>
      </w:r>
    </w:p>
    <w:p>
      <w:pPr>
        <w:spacing w:line="360" w:lineRule="auto" w:after="40"/>
        <w:ind w:firstLine="420"/>
      </w:pPr>
      <w:r>
        <w:t>在反洗钱体系中，监管机构通过许可和注册授权受监管实体，并对其进行风险为本的监督，在严重情况下可处以罚款和执法行动</w:t>
      </w:r>
      <w:r>
        <w:rPr>
          <w:sz w:val="15"/>
          <w:vertAlign w:val="superscript"/>
        </w:rPr>
        <w:t>P228</w:t>
      </w:r>
      <w:r>
        <w:t>。其中，欧盟反洗钱管理局有权直接监管高风险金融机构，进行现场检查并对违规行为施加纠正措施和处罚，在涉及严重、反复或系统性违规时可施加处罚</w:t>
      </w:r>
      <w:r>
        <w:rPr>
          <w:sz w:val="15"/>
          <w:vertAlign w:val="superscript"/>
        </w:rPr>
        <w:t>P191</w:t>
      </w:r>
      <w:r>
        <w:t>。极端情况下，屡犯者可能面临市场禁入或吊销运营执照</w:t>
      </w:r>
      <w:r>
        <w:rPr>
          <w:sz w:val="15"/>
          <w:vertAlign w:val="superscript"/>
        </w:rPr>
        <w:t>P43</w:t>
      </w:r>
      <w:r>
        <w:t>。题干关键事实是：信贷机构收到“初步调查报告”（preliminary findings report），报告指出其反洗钱义务存在重大违规，并声明可能“吊销银行牌照”（withdrawal of its banking license）。初步调查报告是监管检查后的阶段性产物，而吊销牌照属监管机构可采取的执法措施范畴——这吻合监管机构“监督→发现违规→施加处罚”的完整权限链条，而非执法机关、FATF或自律组织的职能覆盖范围。</w:t>
      </w:r>
    </w:p>
    <w:p>
      <w:pPr>
        <w:spacing w:before="120" w:after="40"/>
      </w:pPr>
      <w:r>
        <w:rPr>
          <w:b/>
          <w:sz w:val="21"/>
          <w:shd w:fill="D6E4F0" w:val="clear"/>
        </w:rPr>
        <w:t>B项错误</w:t>
      </w:r>
    </w:p>
    <w:p>
      <w:pPr>
        <w:spacing w:line="360" w:lineRule="auto" w:after="40"/>
        <w:ind w:firstLine="420"/>
      </w:pPr>
      <w:r>
        <w:t>教材提及反洗钱/反恐怖融资行业伙伴关系通过指南和最佳实践文件促进金融业、监管机构、执法机构等协作，这是一种自律方式</w:t>
      </w:r>
      <w:r>
        <w:rPr>
          <w:sz w:val="15"/>
          <w:vertAlign w:val="superscript"/>
        </w:rPr>
        <w:t>P199</w:t>
      </w:r>
      <w:r>
        <w:t>，但教材对银行业自律组织能否直接发布初步调查报告并决定吊销银行牌照缺乏匹配描述。题干“可能面临银行牌照被吊销”指向的是具有法定强制执法权力的机构，自律组织在此权限上不如监管机构直接吻合。</w:t>
      </w:r>
    </w:p>
    <w:p>
      <w:pPr>
        <w:spacing w:before="120" w:after="40"/>
      </w:pPr>
      <w:r>
        <w:rPr>
          <w:b/>
          <w:sz w:val="21"/>
          <w:shd w:fill="D6E4F0" w:val="clear"/>
        </w:rPr>
        <w:t>C项错误</w:t>
      </w:r>
    </w:p>
    <w:p>
      <w:pPr>
        <w:spacing w:line="360" w:lineRule="auto" w:after="40"/>
        <w:ind w:firstLine="420"/>
      </w:pPr>
      <w:r>
        <w:t>执法机构的职责是开展调查、将洗钱者绳之以法并没收资产</w:t>
      </w:r>
      <w:r>
        <w:rPr>
          <w:sz w:val="15"/>
          <w:vertAlign w:val="superscript"/>
        </w:rPr>
        <w:t>P228</w:t>
      </w:r>
      <w:r>
        <w:t>，其法律工具（如法院命令、传票、搜查令）用于要求金融机构提供文件或信息以进行刑事调查</w:t>
      </w:r>
      <w:r>
        <w:rPr>
          <w:sz w:val="15"/>
          <w:vertAlign w:val="superscript"/>
        </w:rPr>
        <w:t>P336</w:t>
      </w:r>
      <w:r>
        <w:t>。题干涉及的是行政监管性质的“初步调查报告”和“反洗钱义务重大违规”认定，更匹配监管机构的合规监督职能，而非执法机关的刑事调查路径。</w:t>
      </w:r>
    </w:p>
    <w:p>
      <w:pPr>
        <w:spacing w:before="120" w:after="40"/>
      </w:pPr>
      <w:r>
        <w:rPr>
          <w:b/>
          <w:sz w:val="21"/>
          <w:shd w:fill="D6E4F0" w:val="clear"/>
        </w:rPr>
        <w:t>D项错误</w:t>
      </w:r>
    </w:p>
    <w:p>
      <w:pPr>
        <w:spacing w:line="360" w:lineRule="auto" w:after="40"/>
        <w:ind w:firstLine="420"/>
      </w:pPr>
      <w:r>
        <w:t>FATF是1989年由G7成立的国际组织，通过40项建议制定全球反洗钱标准，并对各辖区进行互评估</w:t>
      </w:r>
      <w:r>
        <w:rPr>
          <w:sz w:val="15"/>
          <w:vertAlign w:val="superscript"/>
        </w:rPr>
        <w:t>P144</w:t>
      </w:r>
      <w:r>
        <w:t>。其职能是标准制定、评估实施情况和识别不合作辖区（列入灰名单或黑名单），不直接监管具体金融机构，更不会向某一家信贷机构发布初步调查报告或提出吊销其银行牌照。</w:t>
      </w:r>
    </w:p>
    <w:p>
      <w:pPr>
        <w:spacing w:before="120" w:after="40"/>
      </w:pPr>
      <w:r>
        <w:rPr>
          <w:b/>
          <w:sz w:val="21"/>
          <w:shd w:fill="D6E4F0" w:val="clear"/>
        </w:rPr>
        <w:t>易错提醒</w:t>
      </w:r>
    </w:p>
    <w:p>
      <w:pPr>
        <w:spacing w:line="360" w:lineRule="auto" w:after="40"/>
        <w:ind w:firstLine="420"/>
      </w:pPr>
      <w:r>
        <w:t>监管机构与执法机关的核心区分：监管机构负责合规监督（发布检查报告、施加处罚、吊销牌照），执法机关负责刑事调查（使用法院命令、传票、搜查令收集证据以提起公诉）。FATF是国际标准制定机构，不由具体金融机构打交道。自律组织通过行业指南和最佳实践促进协作，本身缺乏吊销牌照的法定强制力。</w:t>
      </w:r>
    </w:p>
    <w:p>
      <w:pPr>
        <w:spacing w:line="360" w:lineRule="auto" w:after="120"/>
      </w:pPr>
      <w:r/>
    </w:p>
    <w:p>
      <w:pPr>
        <w:spacing w:line="360" w:lineRule="auto" w:after="40"/>
      </w:pPr>
      <w:r>
        <w:t>4. 欧盟反洗钱指令的关键目标是什么？ ( )</w:t>
      </w:r>
    </w:p>
    <w:p>
      <w:pPr>
        <w:spacing w:line="360" w:lineRule="auto" w:after="20"/>
        <w:ind w:firstLine="283"/>
      </w:pPr>
      <w:r>
        <w:t>A. 在欧盟国家加强支付地址管控以减少洗钱活动.</w:t>
      </w:r>
    </w:p>
    <w:p>
      <w:pPr>
        <w:spacing w:line="360" w:lineRule="auto" w:after="20"/>
        <w:ind w:firstLine="283"/>
      </w:pPr>
      <w:r>
        <w:t>B. 在欧盟范围内建立一个由金融机构共同协作以防范洗钱活动的网络.</w:t>
      </w:r>
    </w:p>
    <w:p>
      <w:pPr>
        <w:spacing w:line="360" w:lineRule="auto" w:after="20"/>
        <w:ind w:firstLine="283"/>
      </w:pPr>
      <w:r>
        <w:t>C. 在整个欧盟建立一致的监管环境以防止洗钱.</w:t>
      </w:r>
    </w:p>
    <w:p>
      <w:pPr>
        <w:spacing w:line="360" w:lineRule="auto" w:after="20"/>
        <w:ind w:firstLine="283"/>
      </w:pPr>
      <w:r>
        <w:t>D. 允许各成员国在欧盟金融情报机构的协助下讨论该立法草案.</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欧盟反洗钱指令旨在统一各成员国的监管环境</w:t>
      </w:r>
    </w:p>
    <w:p>
      <w:pPr>
        <w:spacing w:before="120" w:after="40"/>
      </w:pPr>
      <w:r>
        <w:rPr>
          <w:b/>
          <w:sz w:val="21"/>
          <w:shd w:fill="D6E4F0" w:val="clear"/>
        </w:rPr>
        <w:t>核心解析</w:t>
      </w:r>
    </w:p>
    <w:p>
      <w:pPr>
        <w:spacing w:line="360" w:lineRule="auto" w:after="40"/>
        <w:ind w:firstLine="420"/>
      </w:pPr>
      <w:r>
        <w:t>欧盟反洗钱法规（AMLR）的目标是在成员国间统一客户尽职调查和风险评估要求</w:t>
      </w:r>
      <w:r>
        <w:rPr>
          <w:sz w:val="15"/>
          <w:vertAlign w:val="superscript"/>
        </w:rPr>
        <w:t>P190</w:t>
      </w:r>
      <w:r>
        <w:t>。此前欧盟反洗钱制度因各成员国执行不一导致碎片化，为此欧盟通过设立反洗钱管理局等措施，确保规则统一实施与协调</w:t>
      </w:r>
      <w:r>
        <w:rPr>
          <w:sz w:val="15"/>
          <w:vertAlign w:val="superscript"/>
        </w:rPr>
        <w:t>P191</w:t>
      </w:r>
      <w:r>
        <w:t>。题干问欧盟反洗钱指令的关键目标，直接对应教材中“在整个欧盟建立一致的监管环境”的描述，因此C正确。</w:t>
      </w:r>
    </w:p>
    <w:p>
      <w:pPr>
        <w:spacing w:before="120" w:after="40"/>
      </w:pPr>
      <w:r>
        <w:rPr>
          <w:b/>
          <w:sz w:val="21"/>
          <w:shd w:fill="D6E4F0" w:val="clear"/>
        </w:rPr>
        <w:t>教材原句</w:t>
      </w:r>
    </w:p>
    <w:p>
      <w:pPr>
        <w:spacing w:line="360" w:lineRule="auto" w:after="40"/>
        <w:ind w:firstLine="420"/>
      </w:pPr>
      <w:r>
        <w:t>"The goal of AMLR is to harmonize CDD and risk assessment requirements across member states."</w:t>
      </w:r>
    </w:p>
    <w:p>
      <w:pPr>
        <w:spacing w:before="120" w:after="40"/>
      </w:pPr>
      <w:r>
        <w:rPr>
          <w:b/>
          <w:sz w:val="21"/>
          <w:shd w:fill="D6E4F0" w:val="clear"/>
        </w:rPr>
        <w:t>A项错误</w:t>
      </w:r>
    </w:p>
    <w:p>
      <w:pPr>
        <w:spacing w:line="360" w:lineRule="auto" w:after="40"/>
        <w:ind w:firstLine="420"/>
      </w:pPr>
      <w:r>
        <w:t>加强支付地址管控是一项具体操作，教材未将其作为指令的关键目标提及。题干要求的“关键目标”在教材中明确指向统一监管框架，而非某个单独的控制措施，因此C的匹配度更高。</w:t>
      </w:r>
    </w:p>
    <w:p>
      <w:pPr>
        <w:spacing w:before="120" w:after="40"/>
      </w:pPr>
      <w:r>
        <w:rPr>
          <w:b/>
          <w:sz w:val="21"/>
          <w:shd w:fill="D6E4F0" w:val="clear"/>
        </w:rPr>
        <w:t>B项错误</w:t>
      </w:r>
    </w:p>
    <w:p>
      <w:pPr>
        <w:spacing w:line="360" w:lineRule="auto" w:after="40"/>
        <w:ind w:firstLine="420"/>
      </w:pPr>
      <w:r>
        <w:t>教材提到机构合作与信息共享</w:t>
      </w:r>
      <w:r>
        <w:rPr>
          <w:sz w:val="15"/>
          <w:vertAlign w:val="superscript"/>
        </w:rPr>
        <w:t>P229</w:t>
      </w:r>
      <w:r>
        <w:t>，但这是执行统一规则的手段，并非指令本身的关键目标。题干直接问及指令的目标，统一监管环境比建立协作网络更根本地对应教材对AMLR目的的定义。</w:t>
      </w:r>
    </w:p>
    <w:p>
      <w:pPr>
        <w:spacing w:before="120" w:after="40"/>
      </w:pPr>
      <w:r>
        <w:rPr>
          <w:b/>
          <w:sz w:val="21"/>
          <w:shd w:fill="D6E4F0" w:val="clear"/>
        </w:rPr>
        <w:t>D项错误</w:t>
      </w:r>
    </w:p>
    <w:p>
      <w:pPr>
        <w:spacing w:line="360" w:lineRule="auto" w:after="40"/>
        <w:ind w:firstLine="420"/>
      </w:pPr>
      <w:r>
        <w:t>欧盟指令的立法过程不以其关键目标出现，讨论草案属于程序安排。教材指出指令旨在统一规则并消除碎片化，选项D未体现这一核心目的，与题干要求的匹配度不如C。</w:t>
      </w:r>
    </w:p>
    <w:p>
      <w:pPr>
        <w:spacing w:before="120" w:after="40"/>
      </w:pPr>
      <w:r>
        <w:rPr>
          <w:b/>
          <w:sz w:val="21"/>
          <w:shd w:fill="D6E4F0" w:val="clear"/>
        </w:rPr>
        <w:t>易错提醒</w:t>
      </w:r>
    </w:p>
    <w:p>
      <w:pPr>
        <w:spacing w:line="360" w:lineRule="auto" w:after="40"/>
        <w:ind w:firstLine="420"/>
      </w:pPr>
      <w:r>
        <w:t>容易误将“建立协作网络”当作目标。教材表明，合作与信息共享是落实统一规则的手段</w:t>
      </w:r>
      <w:r>
        <w:rPr>
          <w:sz w:val="15"/>
          <w:vertAlign w:val="superscript"/>
        </w:rPr>
        <w:t>P191、P229</w:t>
      </w:r>
      <w:r>
        <w:t>，而指令的关键目标是消除监管碎片化，建立一致的监管环境。</w:t>
      </w:r>
    </w:p>
    <w:p>
      <w:pPr>
        <w:spacing w:line="360" w:lineRule="auto" w:after="120"/>
      </w:pPr>
      <w:r/>
    </w:p>
    <w:p>
      <w:pPr>
        <w:spacing w:line="360" w:lineRule="auto" w:after="40"/>
      </w:pPr>
      <w:r>
        <w:t>5. [洗钱和恐怖融资的风险及方法]欧盟反洗钱指令(AMLD)与欧盟成员国的本地反洗钱(AML)法规在对欧盟银行的相关性、适用性和影响方面有何关系？(选择两项.) ( )</w:t>
      </w:r>
    </w:p>
    <w:p>
      <w:pPr>
        <w:spacing w:line="360" w:lineRule="auto" w:after="20"/>
        <w:ind w:firstLine="283"/>
      </w:pPr>
      <w:r>
        <w:t>A. 欧盟反洗钱指令(AMLD)和地方反洗钱法规是相互独立且毫无关联的法律框架.</w:t>
      </w:r>
    </w:p>
    <w:p>
      <w:pPr>
        <w:spacing w:line="360" w:lineRule="auto" w:after="20"/>
        <w:ind w:firstLine="283"/>
      </w:pPr>
      <w:r>
        <w:t>B. 欧盟反洗钱指令与当地反洗钱法规必须具有相同的要求.</w:t>
      </w:r>
    </w:p>
    <w:p>
      <w:pPr>
        <w:spacing w:line="360" w:lineRule="auto" w:after="20"/>
        <w:ind w:firstLine="283"/>
      </w:pPr>
      <w:r>
        <w:t>C. 本地反洗钱法规可能会施加比欧盟《反洗钱指令》更严格或更多的要求.</w:t>
      </w:r>
    </w:p>
    <w:p>
      <w:pPr>
        <w:spacing w:line="360" w:lineRule="auto" w:after="20"/>
        <w:ind w:firstLine="283"/>
      </w:pPr>
      <w:r>
        <w:t>D. 欧盟反洗钱指令优先于当地反洗钱法规.</w:t>
      </w:r>
    </w:p>
    <w:p>
      <w:pPr>
        <w:spacing w:line="360" w:lineRule="auto" w:after="20"/>
        <w:ind w:firstLine="283"/>
      </w:pPr>
      <w:r>
        <w:t>E. 本地反洗钱法律法规优先于欧盟反洗钱指令的要求.</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欧盟指令与成员国法规关系：最低标准、优先效力</w:t>
      </w:r>
    </w:p>
    <w:p>
      <w:pPr>
        <w:spacing w:before="120" w:after="40"/>
      </w:pPr>
      <w:r>
        <w:rPr>
          <w:b/>
          <w:sz w:val="21"/>
          <w:shd w:fill="D6E4F0" w:val="clear"/>
        </w:rPr>
        <w:t>核心解析</w:t>
      </w:r>
    </w:p>
    <w:p>
      <w:pPr>
        <w:spacing w:line="360" w:lineRule="auto" w:after="40"/>
        <w:ind w:firstLine="420"/>
      </w:pPr>
      <w:r>
        <w:t>欧盟指令是设定原则和目标的立法行为</w:t>
      </w:r>
      <w:r>
        <w:rPr>
          <w:sz w:val="15"/>
          <w:vertAlign w:val="superscript"/>
        </w:rPr>
        <w:t>P189</w:t>
      </w:r>
      <w:r>
        <w:t>，成员国须将指令转化为国内法以使其生效</w:t>
      </w:r>
      <w:r>
        <w:rPr>
          <w:sz w:val="15"/>
          <w:vertAlign w:val="superscript"/>
        </w:rPr>
        <w:t>P189</w:t>
      </w:r>
      <w:r>
        <w:t>。以反洗钱领域为例，2018/1673号指令建立了洗钱犯罪定义和处罚的“最低规则”</w:t>
      </w:r>
      <w:r>
        <w:rPr>
          <w:sz w:val="15"/>
          <w:vertAlign w:val="superscript"/>
        </w:rPr>
        <w:t>P189</w:t>
      </w:r>
      <w:r>
        <w:t>。由此可推知，成员国在转化时，本地法规可规定比指令更严格或额外的要求（选项C），但不能低于指令标准。同时，转化义务和最低标准框架表明指令对成员国具有约束力，当本地法规与指令冲突时，指令优先（选项D）。因此，C和D正确反映了指令与本地法规的关系。</w:t>
      </w:r>
    </w:p>
    <w:p>
      <w:pPr>
        <w:spacing w:before="120" w:after="40"/>
      </w:pPr>
      <w:r>
        <w:rPr>
          <w:b/>
          <w:sz w:val="21"/>
          <w:shd w:fill="D6E4F0" w:val="clear"/>
        </w:rPr>
        <w:t>教材原句</w:t>
      </w:r>
    </w:p>
    <w:p>
      <w:pPr>
        <w:spacing w:line="360" w:lineRule="auto" w:after="40"/>
        <w:ind w:firstLine="420"/>
      </w:pPr>
      <w:r>
        <w:t>"This led the EU to pass Directive 2018/1673, or the “AML Criminal Law Directive,” which establishes minimum rules concerning the definition of criminal offenses and penalties for money laundering."</w:t>
      </w:r>
    </w:p>
    <w:p>
      <w:pPr>
        <w:spacing w:before="120" w:after="40"/>
      </w:pPr>
      <w:r>
        <w:rPr>
          <w:b/>
          <w:sz w:val="21"/>
          <w:shd w:fill="D6E4F0" w:val="clear"/>
        </w:rPr>
        <w:t>A项错误</w:t>
      </w:r>
    </w:p>
    <w:p>
      <w:pPr>
        <w:spacing w:line="360" w:lineRule="auto" w:after="40"/>
        <w:ind w:firstLine="420"/>
      </w:pPr>
      <w:r>
        <w:t>教材指出成员国必须将欧盟指令转化为国内法</w:t>
      </w:r>
      <w:r>
        <w:rPr>
          <w:sz w:val="15"/>
          <w:vertAlign w:val="superscript"/>
        </w:rPr>
        <w:t>P189</w:t>
      </w:r>
      <w:r>
        <w:t>，说明两者并非相互独立、毫无关联，而是紧密联系。相比于独立框架，正确项C（可更严）和D（指令优先）更准确地描述了指令转化后的互动关系。</w:t>
      </w:r>
    </w:p>
    <w:p>
      <w:pPr>
        <w:spacing w:before="120" w:after="40"/>
      </w:pPr>
      <w:r>
        <w:rPr>
          <w:b/>
          <w:sz w:val="21"/>
          <w:shd w:fill="D6E4F0" w:val="clear"/>
        </w:rPr>
        <w:t>B项错误</w:t>
      </w:r>
    </w:p>
    <w:p>
      <w:pPr>
        <w:spacing w:line="360" w:lineRule="auto" w:after="40"/>
        <w:ind w:firstLine="420"/>
      </w:pPr>
      <w:r>
        <w:t>指令建立的是“最低规则”（minimum rules, P189），成员国可在此基础上施加更严格的要求。因此，本地法规无需与指令完全相同，正确项C更契合教材中的最低标准框架。</w:t>
      </w:r>
    </w:p>
    <w:p>
      <w:pPr>
        <w:spacing w:before="120" w:after="40"/>
      </w:pPr>
      <w:r>
        <w:rPr>
          <w:b/>
          <w:sz w:val="21"/>
          <w:shd w:fill="D6E4F0" w:val="clear"/>
        </w:rPr>
        <w:t>E项错误</w:t>
      </w:r>
    </w:p>
    <w:p>
      <w:pPr>
        <w:spacing w:line="360" w:lineRule="auto" w:after="40"/>
        <w:ind w:firstLine="420"/>
      </w:pPr>
      <w:r>
        <w:t>成员国须转化指令，并在转化后受其约束，这暗示指令而非本地法规具有优先地位。正确项D“指令优先”比E“本地优先”更吻合教材所描述的转化义务与最低标准体系。</w:t>
      </w:r>
    </w:p>
    <w:p>
      <w:pPr>
        <w:spacing w:before="120" w:after="40"/>
      </w:pPr>
      <w:r>
        <w:rPr>
          <w:b/>
          <w:sz w:val="21"/>
          <w:shd w:fill="D6E4F0" w:val="clear"/>
        </w:rPr>
        <w:t>易错提醒</w:t>
      </w:r>
    </w:p>
    <w:p>
      <w:pPr>
        <w:spacing w:line="360" w:lineRule="auto" w:after="40"/>
        <w:ind w:firstLine="420"/>
      </w:pPr>
      <w:r>
        <w:t>区分“指令（directive）”与“法规（regulation）”：法规在成员国直接适用；指令需经成员国转化后才生效，前者如欧盟反洗钱法规，后者如AMLD</w:t>
      </w:r>
      <w:r>
        <w:rPr>
          <w:sz w:val="15"/>
          <w:vertAlign w:val="superscript"/>
        </w:rPr>
        <w:t>P189</w:t>
      </w:r>
      <w:r>
        <w:t>。</w:t>
      </w:r>
    </w:p>
    <w:p>
      <w:pPr>
        <w:spacing w:line="360" w:lineRule="auto" w:after="120"/>
      </w:pPr>
      <w:r/>
    </w:p>
    <w:p>
      <w:pPr>
        <w:spacing w:line="360" w:lineRule="auto" w:after="40"/>
      </w:pPr>
      <w:r>
        <w:t>6. 虚拟资产服务提供商(VASP)的一名合规经理正在评估其业务及其对反洗钱政策的影响.以下VASP业务的哪些特征会是最令人担忧的？(选择四项.) ( )</w:t>
      </w:r>
    </w:p>
    <w:p>
      <w:pPr>
        <w:spacing w:line="360" w:lineRule="auto" w:after="20"/>
        <w:ind w:firstLine="283"/>
      </w:pPr>
      <w:r>
        <w:t>A. 允许客户交易增强匿名性的代币</w:t>
      </w:r>
    </w:p>
    <w:p>
      <w:pPr>
        <w:spacing w:line="360" w:lineRule="auto" w:after="20"/>
        <w:ind w:firstLine="283"/>
      </w:pPr>
      <w:r>
        <w:t>B. 对境外居民客户的开户服务,包括具有政治公众人物(PEP)身份的客户</w:t>
      </w:r>
    </w:p>
    <w:p>
      <w:pPr>
        <w:spacing w:line="360" w:lineRule="auto" w:after="20"/>
        <w:ind w:firstLine="283"/>
      </w:pPr>
      <w:r>
        <w:t>C. 实现代币在不同区块链之间的转移</w:t>
      </w:r>
    </w:p>
    <w:p>
      <w:pPr>
        <w:spacing w:line="360" w:lineRule="auto" w:after="20"/>
        <w:ind w:firstLine="283"/>
      </w:pPr>
      <w:r>
        <w:t>D. 向在未遵守金融行动特别工作组(FATF)规定的司法管辖区设立的虚拟资产服务提供商(VASP)提供服务</w:t>
      </w:r>
    </w:p>
    <w:p>
      <w:pPr>
        <w:spacing w:line="360" w:lineRule="auto" w:after="20"/>
        <w:ind w:firstLine="283"/>
      </w:pPr>
      <w:r>
        <w:t>E. 运营收取高额费用的加密货币自动取款机网络</w:t>
      </w:r>
    </w:p>
    <w:p>
      <w:pPr>
        <w:spacing w:line="360" w:lineRule="auto" w:after="20"/>
        <w:ind w:firstLine="283"/>
      </w:pPr>
      <w:r>
        <w:t>F. 缺乏足够的IP地址追踪能力</w:t>
      </w:r>
    </w:p>
    <w:p>
      <w:pPr>
        <w:spacing w:line="360" w:lineRule="auto" w:after="40"/>
      </w:pPr>
      <w:r>
        <w:t>答案:A、B、D、F</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识别虚拟资产服务商的高风险业务特征</w:t>
      </w:r>
    </w:p>
    <w:p>
      <w:pPr>
        <w:spacing w:before="120" w:after="40"/>
      </w:pPr>
      <w:r>
        <w:rPr>
          <w:b/>
          <w:sz w:val="21"/>
          <w:shd w:fill="D6E4F0" w:val="clear"/>
        </w:rPr>
        <w:t>核心解析</w:t>
      </w:r>
    </w:p>
    <w:p>
      <w:pPr>
        <w:spacing w:line="360" w:lineRule="auto" w:after="40"/>
        <w:ind w:firstLine="420"/>
      </w:pPr>
      <w:r>
        <w:t>教材列出了若干与虚拟资产服务商（VASP）相关的洗钱风险和控制要求。选项A：具有内置匿名功能的加密资产应被VASP拒绝上市，除非能识别持有人及交易历史</w:t>
      </w:r>
      <w:r>
        <w:rPr>
          <w:sz w:val="15"/>
          <w:vertAlign w:val="superscript"/>
        </w:rPr>
        <w:t>P193</w:t>
      </w:r>
      <w:r>
        <w:t>，允许此类交易直接抵触监管规定。选项B：政治敏感人物（PEP）因其贿赂和腐败风险更高</w:t>
      </w:r>
      <w:r>
        <w:rPr>
          <w:sz w:val="15"/>
          <w:vertAlign w:val="superscript"/>
        </w:rPr>
        <w:t>P72</w:t>
      </w:r>
      <w:r>
        <w:t>，且通常需要强化尽职调查</w:t>
      </w:r>
      <w:r>
        <w:rPr>
          <w:sz w:val="15"/>
          <w:vertAlign w:val="superscript"/>
        </w:rPr>
        <w:t>P310</w:t>
      </w:r>
      <w:r>
        <w:t>，VASP为境外PEP提供开户服务增加了风险敞口。选项D：数字资产交易筛查的重点是识别监管框架外运营的VASP</w:t>
      </w:r>
      <w:r>
        <w:rPr>
          <w:sz w:val="15"/>
          <w:vertAlign w:val="superscript"/>
        </w:rPr>
        <w:t>P434</w:t>
      </w:r>
      <w:r>
        <w:t>，犯罪分子常利用反洗钱/反恐怖融资监管薄弱辖区的服务商洗钱</w:t>
      </w:r>
      <w:r>
        <w:rPr>
          <w:sz w:val="15"/>
          <w:vertAlign w:val="superscript"/>
        </w:rPr>
        <w:t>P17</w:t>
      </w:r>
      <w:r>
        <w:t>，向不合规辖区VASP提供服务直接暴露于此类威胁。选项F：客户通过VPN等工具隐藏身份或位置本身就是洗钱风险信号</w:t>
      </w:r>
      <w:r>
        <w:rPr>
          <w:sz w:val="15"/>
          <w:vertAlign w:val="superscript"/>
        </w:rPr>
        <w:t>P99</w:t>
      </w:r>
      <w:r>
        <w:t>，缺乏IP地址追踪能力意味着VASP难以识别这种隐匿行为，增大了匿名性风险。这四个特征均在教材中被明确关联到洗钱风险或合规要求，因此最令人担忧。选项C和E则缺少同等程度的教材支撑。</w:t>
      </w:r>
    </w:p>
    <w:p>
      <w:pPr>
        <w:spacing w:before="120" w:after="40"/>
      </w:pPr>
      <w:r>
        <w:rPr>
          <w:b/>
          <w:sz w:val="21"/>
          <w:shd w:fill="D6E4F0" w:val="clear"/>
        </w:rPr>
        <w:t>教材原句</w:t>
      </w:r>
    </w:p>
    <w:p>
      <w:pPr>
        <w:spacing w:line="360" w:lineRule="auto" w:after="40"/>
        <w:ind w:firstLine="420"/>
      </w:pPr>
      <w:r>
        <w:t>"VASPs should reject admission to trading cryptoassets with inbuilt anonymization functions unless they can identify the token holders and their transaction history."</w:t>
      </w:r>
    </w:p>
    <w:p>
      <w:pPr>
        <w:spacing w:before="120" w:after="40"/>
      </w:pPr>
      <w:r>
        <w:rPr>
          <w:b/>
          <w:sz w:val="21"/>
          <w:shd w:fill="D6E4F0" w:val="clear"/>
        </w:rPr>
        <w:t>C项错误</w:t>
      </w:r>
    </w:p>
    <w:p>
      <w:pPr>
        <w:spacing w:line="360" w:lineRule="auto" w:after="40"/>
        <w:ind w:firstLine="420"/>
      </w:pPr>
      <w:r>
        <w:t>教材指出代币可以在区块链间跨境交易并可能模糊非法资金来源</w:t>
      </w:r>
      <w:r>
        <w:rPr>
          <w:sz w:val="15"/>
          <w:vertAlign w:val="superscript"/>
        </w:rPr>
        <w:t>P109</w:t>
      </w:r>
      <w:r>
        <w:t>，但这属于一般性风险描述，不如A、D等选项直接对应监管禁令或明确红旗信号。题干描述“实现代币在不同区块链之间的转移”本身是许多DeFi应用的正常功能，在缺少匿名、监管规避等附加要素时，其风险匹配度低于正确项。</w:t>
      </w:r>
    </w:p>
    <w:p>
      <w:pPr>
        <w:spacing w:before="120" w:after="40"/>
      </w:pPr>
      <w:r>
        <w:rPr>
          <w:b/>
          <w:sz w:val="21"/>
          <w:shd w:fill="D6E4F0" w:val="clear"/>
        </w:rPr>
        <w:t>E项错误</w:t>
      </w:r>
    </w:p>
    <w:p>
      <w:pPr>
        <w:spacing w:line="360" w:lineRule="auto" w:after="40"/>
        <w:ind w:firstLine="420"/>
      </w:pPr>
      <w:r>
        <w:t>教材将加密ATM定义为接入和基础设施提供商，允许用户兑换加密货币与法币</w:t>
      </w:r>
      <w:r>
        <w:rPr>
          <w:sz w:val="15"/>
          <w:vertAlign w:val="superscript"/>
        </w:rPr>
        <w:t>P109</w:t>
      </w:r>
      <w:r>
        <w:t>，但未将“收取高额费用”列为风险特征。高收费更多属商业定价，与洗钱风险缺乏直接关联，相关度不及选项B、D、F等已建立的红旗信号。</w:t>
      </w:r>
    </w:p>
    <w:p>
      <w:pPr>
        <w:spacing w:before="120" w:after="40"/>
      </w:pPr>
      <w:r>
        <w:rPr>
          <w:b/>
          <w:sz w:val="21"/>
          <w:shd w:fill="D6E4F0" w:val="clear"/>
        </w:rPr>
        <w:t>易错提醒</w:t>
      </w:r>
    </w:p>
    <w:p>
      <w:pPr>
        <w:spacing w:line="360" w:lineRule="auto" w:after="40"/>
        <w:ind w:firstLine="420"/>
      </w:pPr>
      <w:r>
        <w:t>跨链转移功能本身不是洗钱红旗信号；只有当其与匿名增强技术、缺乏KYC或规避监管辖区等特征结合时，才提升风险。同理，高费用不等于高风险，需关注ATM是否缺乏适当的KYC/AML控制。</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