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w:t>
      </w:r>
    </w:p>
    <w:p>
      <w:pPr>
        <w:spacing w:line="360" w:lineRule="auto" w:after="160"/>
      </w:pPr>
      <w:r>
        <w:t>一、单项选择题</w:t>
      </w:r>
    </w:p>
    <w:p>
      <w:pPr>
        <w:spacing w:line="360" w:lineRule="auto" w:after="40"/>
      </w:pPr>
      <w:r>
        <w:t>1. 一家公司正在迅速向多个国际市场扩张,其中包括一些在监管监督方面被视为高风险的司法管辖区.董事会要求反洗钱报告官(MLRO)审查并调整公司的反金融犯罪(AFC)合规框架,以适应不断变化的监管环境和扩张战略.在此过程中,MLRO发现了一些漏洞,尤其是在反洗钱制度存在缺陷的市场,并对框架进行了更新以降低这些风险.这一流程描述的是AFC合规计划中的哪个要素？ ( )</w:t>
      </w:r>
    </w:p>
    <w:p>
      <w:pPr>
        <w:spacing w:line="360" w:lineRule="auto" w:after="20"/>
        <w:ind w:firstLine="283"/>
      </w:pPr>
      <w:r>
        <w:t>A. 治理安排</w:t>
      </w:r>
    </w:p>
    <w:p>
      <w:pPr>
        <w:spacing w:line="360" w:lineRule="auto" w:after="20"/>
        <w:ind w:firstLine="283"/>
      </w:pPr>
      <w:r>
        <w:t>B. 交易监控</w:t>
      </w:r>
    </w:p>
    <w:p>
      <w:pPr>
        <w:spacing w:line="360" w:lineRule="auto" w:after="20"/>
        <w:ind w:firstLine="283"/>
      </w:pPr>
      <w:r>
        <w:t>C. 培训与意识提升</w:t>
      </w:r>
    </w:p>
    <w:p>
      <w:pPr>
        <w:spacing w:line="360" w:lineRule="auto" w:after="20"/>
        <w:ind w:firstLine="283"/>
      </w:pPr>
      <w:r>
        <w:t>D. 风险评估</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识别“风险评估”作为AFC合规框架的核心流程要素</w:t>
      </w:r>
    </w:p>
    <w:p>
      <w:pPr>
        <w:spacing w:before="120" w:after="40"/>
      </w:pPr>
      <w:r>
        <w:rPr>
          <w:b/>
          <w:sz w:val="21"/>
          <w:shd w:fill="D6E4F0" w:val="clear"/>
        </w:rPr>
        <w:t>核心解析</w:t>
      </w:r>
    </w:p>
    <w:p>
      <w:pPr>
        <w:spacing w:line="360" w:lineRule="auto" w:after="40"/>
        <w:ind w:firstLine="420"/>
      </w:pPr>
      <w:r>
        <w:t>风险评估流程是风险管理项目的基础</w:t>
      </w:r>
      <w:r>
        <w:rPr>
          <w:sz w:val="15"/>
          <w:vertAlign w:val="superscript"/>
        </w:rPr>
        <w:t>P265</w:t>
      </w:r>
      <w:r>
        <w:t>。AML/CFT法规要求组织评估和管理洗钱与恐怖融资风险</w:t>
      </w:r>
      <w:r>
        <w:rPr>
          <w:sz w:val="15"/>
          <w:vertAlign w:val="superscript"/>
        </w:rPr>
        <w:t>P218</w:t>
      </w:r>
      <w:r>
        <w:t>，MLRO的职责包括领导风险评估</w:t>
      </w:r>
      <w:r>
        <w:rPr>
          <w:sz w:val="15"/>
          <w:vertAlign w:val="superscript"/>
        </w:rPr>
        <w:t>P295</w:t>
      </w:r>
      <w:r>
        <w:t>。教材案例展示：MLRO审查现有控制措施和流程，分析差距并确定受影响领域</w:t>
      </w:r>
      <w:r>
        <w:rPr>
          <w:sz w:val="15"/>
          <w:vertAlign w:val="superscript"/>
        </w:rPr>
        <w:t>P224</w:t>
      </w:r>
      <w:r>
        <w:t>。题干中公司向高风险司法管辖区扩张，MLRO审查并调整AFC合规框架、发现漏洞并更新以降低风险，正是在执行风险评估——识别因扩张带来的新风险，评估控制缺口，并据此调整框架。因此该流程直接对应“风险评估”要素。</w:t>
      </w:r>
    </w:p>
    <w:p>
      <w:pPr>
        <w:spacing w:before="120" w:after="40"/>
      </w:pPr>
      <w:r>
        <w:rPr>
          <w:b/>
          <w:sz w:val="21"/>
          <w:shd w:fill="D6E4F0" w:val="clear"/>
        </w:rPr>
        <w:t>教材原句</w:t>
      </w:r>
    </w:p>
    <w:p>
      <w:pPr>
        <w:spacing w:line="360" w:lineRule="auto" w:after="40"/>
        <w:ind w:firstLine="420"/>
      </w:pPr>
      <w:r>
        <w:t>"The MLRO conducts a review of the bank’s existing controls and processes to determine which areas are impacted. She then analyzes whether appropriate controls are in place and whether any gaps need to be addressed."</w:t>
      </w:r>
    </w:p>
    <w:p>
      <w:pPr>
        <w:spacing w:before="120" w:after="40"/>
      </w:pPr>
      <w:r>
        <w:rPr>
          <w:b/>
          <w:sz w:val="21"/>
          <w:shd w:fill="D6E4F0" w:val="clear"/>
        </w:rPr>
        <w:t>A项错误</w:t>
      </w:r>
    </w:p>
    <w:p>
      <w:pPr>
        <w:spacing w:line="360" w:lineRule="auto" w:after="40"/>
        <w:ind w:firstLine="420"/>
      </w:pPr>
      <w:r>
        <w:t>治理安排在教材中主要指治理委员会对规则选择、实施和系统更新的监督</w:t>
      </w:r>
      <w:r>
        <w:rPr>
          <w:sz w:val="15"/>
          <w:vertAlign w:val="superscript"/>
        </w:rPr>
        <w:t>P449</w:t>
      </w:r>
      <w:r>
        <w:t>。题干中MLRO个人进行的审查与框架更新更倾向于风险识别与评估，尚未涉及委员会层面的治理决策，匹配度不如风险评估直接。</w:t>
      </w:r>
    </w:p>
    <w:p>
      <w:pPr>
        <w:spacing w:before="120" w:after="40"/>
      </w:pPr>
      <w:r>
        <w:rPr>
          <w:b/>
          <w:sz w:val="21"/>
          <w:shd w:fill="D6E4F0" w:val="clear"/>
        </w:rPr>
        <w:t>B项错误</w:t>
      </w:r>
    </w:p>
    <w:p>
      <w:pPr>
        <w:spacing w:line="360" w:lineRule="auto" w:after="40"/>
        <w:ind w:firstLine="420"/>
      </w:pPr>
      <w:r>
        <w:t>交易监控是在开户后持续观察客户交易以识别异常活动</w:t>
      </w:r>
      <w:r>
        <w:rPr>
          <w:sz w:val="15"/>
          <w:vertAlign w:val="superscript"/>
        </w:rPr>
        <w:t>P329</w:t>
      </w:r>
      <w:r>
        <w:t>。题干未提及任何交易数据或监控行为，MLRO的工作聚焦于整体框架的差距分析，与交易监控的阶段和对象均不同，因此匹配度更低。</w:t>
      </w:r>
    </w:p>
    <w:p>
      <w:pPr>
        <w:spacing w:before="120" w:after="40"/>
      </w:pPr>
      <w:r>
        <w:rPr>
          <w:b/>
          <w:sz w:val="21"/>
          <w:shd w:fill="D6E4F0" w:val="clear"/>
        </w:rPr>
        <w:t>C项错误</w:t>
      </w:r>
    </w:p>
    <w:p>
      <w:pPr>
        <w:spacing w:line="360" w:lineRule="auto" w:after="40"/>
        <w:ind w:firstLine="420"/>
      </w:pPr>
      <w:r>
        <w:t>培训与意识指开展员工AML/CFT培训，确保其理解职责</w:t>
      </w:r>
      <w:r>
        <w:rPr>
          <w:sz w:val="15"/>
          <w:vertAlign w:val="superscript"/>
        </w:rPr>
        <w:t>P255</w:t>
      </w:r>
      <w:r>
        <w:t>。题干中MLRO的活动是自行审查和更新合规框架，而非向他人传递知识或意识，缺乏培训要素，因此不如风险评估匹配。</w:t>
      </w:r>
    </w:p>
    <w:p>
      <w:pPr>
        <w:spacing w:before="120" w:after="40"/>
      </w:pPr>
      <w:r>
        <w:rPr>
          <w:b/>
          <w:sz w:val="21"/>
          <w:shd w:fill="D6E4F0" w:val="clear"/>
        </w:rPr>
        <w:t>易错提醒</w:t>
      </w:r>
    </w:p>
    <w:p>
      <w:pPr>
        <w:spacing w:line="360" w:lineRule="auto" w:after="40"/>
        <w:ind w:firstLine="420"/>
      </w:pPr>
      <w:r>
        <w:t>区分风险评估与治理安排：风险评估侧重识别和分析风险缺口，由MLRO等执行</w:t>
      </w:r>
      <w:r>
        <w:rPr>
          <w:sz w:val="15"/>
          <w:vertAlign w:val="superscript"/>
        </w:rPr>
        <w:t>P218、P224</w:t>
      </w:r>
      <w:r>
        <w:t>；治理安排由委员会监督已建立规则和模型的批准与更新</w:t>
      </w:r>
      <w:r>
        <w:rPr>
          <w:sz w:val="15"/>
          <w:vertAlign w:val="superscript"/>
        </w:rPr>
        <w:t>P449</w:t>
      </w:r>
      <w:r>
        <w:t>。题干描述的“MLRO亲自审查差距并更新框架”更接近风险评估流程，而非治理委员会的角色。</w:t>
      </w:r>
    </w:p>
    <w:p>
      <w:pPr>
        <w:spacing w:line="360" w:lineRule="auto" w:after="120"/>
      </w:pPr>
      <w:r/>
    </w:p>
    <w:p>
      <w:pPr>
        <w:spacing w:line="360" w:lineRule="auto" w:after="40"/>
      </w:pPr>
      <w:r>
        <w:t>2. 一个组织可以采取哪项行动来更好地了解其面临的扩散融资威胁？ ( )</w:t>
      </w:r>
    </w:p>
    <w:p>
      <w:pPr>
        <w:spacing w:line="360" w:lineRule="auto" w:after="20"/>
        <w:ind w:firstLine="283"/>
      </w:pPr>
      <w:r>
        <w:t>A. 与一线部门合作,深入了解他们旨在扩大军事技术和军民两用产品市场份额的具体战略增长目标.</w:t>
      </w:r>
    </w:p>
    <w:p>
      <w:pPr>
        <w:spacing w:line="360" w:lineRule="auto" w:after="20"/>
        <w:ind w:firstLine="283"/>
      </w:pPr>
      <w:r>
        <w:t>B. 审查组织的制裁风险评估,以更好地了解可能面临的与俄罗斯和朝鲜民主主义人民共和国相关的风险.</w:t>
      </w:r>
    </w:p>
    <w:p>
      <w:pPr>
        <w:spacing w:line="360" w:lineRule="auto" w:after="20"/>
        <w:ind w:firstLine="283"/>
      </w:pPr>
      <w:r>
        <w:t>C. 阅读并分析由所在组织管辖区域内相关机构编制的最新《国家扩散融资风险评估》报告</w:t>
      </w:r>
    </w:p>
    <w:p>
      <w:pPr>
        <w:spacing w:line="360" w:lineRule="auto" w:after="20"/>
        <w:ind w:firstLine="283"/>
      </w:pPr>
      <w:r>
        <w:t>D. 对所有向被认定为国防承包商的客户支付款项的交易进行详细审查,尤其要关注这些客户的实际受益人.</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利用国家扩散融资风险评估（NRA）了解扩散融资威胁</w:t>
      </w:r>
    </w:p>
    <w:p>
      <w:pPr>
        <w:spacing w:before="120" w:after="40"/>
      </w:pPr>
      <w:r>
        <w:rPr>
          <w:b/>
          <w:sz w:val="21"/>
          <w:shd w:fill="D6E4F0" w:val="clear"/>
        </w:rPr>
        <w:t>核心解析</w:t>
      </w:r>
    </w:p>
    <w:p>
      <w:pPr>
        <w:spacing w:line="360" w:lineRule="auto" w:after="40"/>
        <w:ind w:firstLine="420"/>
      </w:pPr>
      <w:r>
        <w:t>FATF建议1要求各国识别、评估和减轻扩散融资风险</w:t>
      </w:r>
      <w:r>
        <w:rPr>
          <w:sz w:val="15"/>
          <w:vertAlign w:val="superscript"/>
        </w:rPr>
        <w:t>P225</w:t>
      </w:r>
      <w:r>
        <w:t>。国家风险评估（NRA）是司法管辖区整合并表达这些风险知识的工具</w:t>
      </w:r>
      <w:r>
        <w:rPr>
          <w:sz w:val="15"/>
          <w:vertAlign w:val="superscript"/>
        </w:rPr>
        <w:t>P225</w:t>
      </w:r>
      <w:r>
        <w:t>。根据组织类型和风险暴露，组织可能需要进行特定风险评估，如扩散融资风险评估</w:t>
      </w:r>
      <w:r>
        <w:rPr>
          <w:sz w:val="15"/>
          <w:vertAlign w:val="superscript"/>
        </w:rPr>
        <w:t>P269</w:t>
      </w:r>
      <w:r>
        <w:t>。因此，阅读分析本辖区的《国家扩散融资风险评估》报告能让组织直接了解扩散融资威胁，这是最匹配教材框架的行动。</w:t>
      </w:r>
    </w:p>
    <w:p>
      <w:pPr>
        <w:spacing w:before="120" w:after="40"/>
      </w:pPr>
      <w:r>
        <w:rPr>
          <w:b/>
          <w:sz w:val="21"/>
          <w:shd w:fill="D6E4F0" w:val="clear"/>
        </w:rPr>
        <w:t>教材原句</w:t>
      </w:r>
    </w:p>
    <w:p>
      <w:pPr>
        <w:spacing w:line="360" w:lineRule="auto" w:after="40"/>
        <w:ind w:firstLine="420"/>
      </w:pPr>
      <w:r>
        <w:t>"Jurisdictions can consolidate and articulate their knowledge of these risks using an NRA."</w:t>
      </w:r>
    </w:p>
    <w:p>
      <w:pPr>
        <w:spacing w:before="120" w:after="40"/>
      </w:pPr>
      <w:r>
        <w:rPr>
          <w:b/>
          <w:sz w:val="21"/>
          <w:shd w:fill="D6E4F0" w:val="clear"/>
        </w:rPr>
        <w:t>A项错误</w:t>
      </w:r>
    </w:p>
    <w:p>
      <w:pPr>
        <w:spacing w:line="360" w:lineRule="auto" w:after="40"/>
        <w:ind w:firstLine="420"/>
      </w:pPr>
      <w:r>
        <w:t>一线部门的战略增长目标旨在扩大军事技术和两用产品的市场份额，关注商业增长而非威胁评估。题干要求了解扩散融资威胁，选项A未涉及任何风险评估框架，与教材规定的国家风险评估或扩散融资风险评估不直接匹配。</w:t>
      </w:r>
    </w:p>
    <w:p>
      <w:pPr>
        <w:spacing w:before="120" w:after="40"/>
      </w:pPr>
      <w:r>
        <w:rPr>
          <w:b/>
          <w:sz w:val="21"/>
          <w:shd w:fill="D6E4F0" w:val="clear"/>
        </w:rPr>
        <w:t>B项错误</w:t>
      </w:r>
    </w:p>
    <w:p>
      <w:pPr>
        <w:spacing w:line="360" w:lineRule="auto" w:after="40"/>
        <w:ind w:firstLine="420"/>
      </w:pPr>
      <w:r>
        <w:t>审查制裁风险评估主要聚焦遵守制裁合规，不能全面了解扩散融资威胁。教材指出扩散融资风险评估是一项独立的特定风险评估</w:t>
      </w:r>
      <w:r>
        <w:rPr>
          <w:sz w:val="15"/>
          <w:vertAlign w:val="superscript"/>
        </w:rPr>
        <w:t>P269</w:t>
      </w:r>
      <w:r>
        <w:t>，直接阅读国家扩散融资风险评估比审查普遍的制裁风险评估更匹配题干要求的了解扩散融资威胁。</w:t>
      </w:r>
    </w:p>
    <w:p>
      <w:pPr>
        <w:spacing w:before="120" w:after="40"/>
      </w:pPr>
      <w:r>
        <w:rPr>
          <w:b/>
          <w:sz w:val="21"/>
          <w:shd w:fill="D6E4F0" w:val="clear"/>
        </w:rPr>
        <w:t>D项错误</w:t>
      </w:r>
    </w:p>
    <w:p>
      <w:pPr>
        <w:spacing w:line="360" w:lineRule="auto" w:after="40"/>
        <w:ind w:firstLine="420"/>
      </w:pPr>
      <w:r>
        <w:t>对所有向国防承包商付款的交易进行详细审查属于交易监控和尽职调查措施，旨在识别特定交易中的风险，而非从整体上了解扩散融资威胁。阅读国家扩散融资风险评估是宏观的了解威胁行动，比审查具体交易更直接匹配题干要求。</w:t>
      </w:r>
    </w:p>
    <w:p>
      <w:pPr>
        <w:spacing w:before="120" w:after="40"/>
      </w:pPr>
      <w:r>
        <w:rPr>
          <w:b/>
          <w:sz w:val="21"/>
          <w:shd w:fill="D6E4F0" w:val="clear"/>
        </w:rPr>
        <w:t>易错提醒</w:t>
      </w:r>
    </w:p>
    <w:p>
      <w:pPr>
        <w:spacing w:line="360" w:lineRule="auto" w:after="40"/>
        <w:ind w:firstLine="420"/>
      </w:pPr>
      <w:r>
        <w:t>制裁风险评估关注是否违反制裁名单，而扩散融资风险评估关注大规模杀伤性武器及其运载工具的转让和出口</w:t>
      </w:r>
      <w:r>
        <w:rPr>
          <w:sz w:val="15"/>
          <w:vertAlign w:val="superscript"/>
        </w:rPr>
        <w:t>P269</w:t>
      </w:r>
      <w:r>
        <w:t>，针对的是完全不同的风险类型。</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