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CH10</w:t>
      </w:r>
    </w:p>
    <w:p>
      <w:pPr>
        <w:spacing w:line="360" w:lineRule="auto" w:after="160"/>
      </w:pPr>
      <w:r>
        <w:t>一、单项选择题</w:t>
      </w:r>
    </w:p>
    <w:p>
      <w:pPr>
        <w:spacing w:line="360" w:lineRule="auto" w:after="40"/>
      </w:pPr>
      <w:r>
        <w:t>1. 当一家跨国组织制定其反金融犯罪(AFC)计划时,确保在不同司法管辖区合规的最重要考虑因素是什么？ ( )</w:t>
      </w:r>
    </w:p>
    <w:p>
      <w:pPr>
        <w:spacing w:line="360" w:lineRule="auto" w:after="20"/>
        <w:ind w:firstLine="283"/>
      </w:pPr>
      <w:r>
        <w:t>A. 确保制裁不会影响到联合国这样的国际机构,因为它们无需遵守当地法律.</w:t>
      </w:r>
    </w:p>
    <w:p>
      <w:pPr>
        <w:spacing w:line="360" w:lineRule="auto" w:after="20"/>
        <w:ind w:firstLine="283"/>
      </w:pPr>
      <w:r>
        <w:t>B. 确保集团政策和程序优先遵循美国法规,因为美国法规在全球范围内最具影响力.</w:t>
      </w:r>
    </w:p>
    <w:p>
      <w:pPr>
        <w:spacing w:line="360" w:lineRule="auto" w:after="20"/>
        <w:ind w:firstLine="283"/>
      </w:pPr>
      <w:r>
        <w:t>C. 应用全球反洗钱和制裁政策,以确保一致性,无需适应当地法规.</w:t>
      </w:r>
    </w:p>
    <w:p>
      <w:pPr>
        <w:spacing w:line="360" w:lineRule="auto" w:after="20"/>
        <w:ind w:firstLine="283"/>
      </w:pPr>
      <w:r>
        <w:t>D. 确保集团政策符合每个国家具体的反洗钱和制裁法规.</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跨国组织AFC政策须以各地方法规为底，兼顾全球一致性</w:t>
      </w:r>
    </w:p>
    <w:p>
      <w:pPr>
        <w:spacing w:before="120" w:after="40"/>
      </w:pPr>
      <w:r>
        <w:rPr>
          <w:b/>
          <w:sz w:val="21"/>
          <w:shd w:fill="D6E4F0" w:val="clear"/>
        </w:rPr>
        <w:t>核心解析</w:t>
      </w:r>
    </w:p>
    <w:p>
      <w:pPr>
        <w:spacing w:line="360" w:lineRule="auto" w:after="40"/>
        <w:ind w:firstLine="420"/>
      </w:pPr>
      <w:r>
        <w:t>教材指出，为确保不同司法管辖区的合规，跨国组织必须使集团政策与各国具体的法律保持一致，同时维持全球反金融犯罪原则</w:t>
      </w:r>
      <w:r>
        <w:rPr>
          <w:sz w:val="15"/>
          <w:vertAlign w:val="superscript"/>
        </w:rPr>
        <w:t>P292</w:t>
      </w:r>
      <w:r>
        <w:t>。这可能导致在某些司法管辖区实施更高标准，以保持全球一致性。本题问的是制定AFC计划时确保跨管辖区合规的“最重要考虑因素”，选项D“确保集团政策符合每个国家具体的反洗钱和制裁法规”正是该原则的直接体现。</w:t>
      </w:r>
    </w:p>
    <w:p>
      <w:pPr>
        <w:spacing w:before="120" w:after="40"/>
      </w:pPr>
      <w:r>
        <w:rPr>
          <w:b/>
          <w:sz w:val="21"/>
          <w:shd w:fill="D6E4F0" w:val="clear"/>
        </w:rPr>
        <w:t>教材原句</w:t>
      </w:r>
    </w:p>
    <w:p>
      <w:pPr>
        <w:spacing w:line="360" w:lineRule="auto" w:after="40"/>
        <w:ind w:firstLine="420"/>
      </w:pPr>
      <w:r>
        <w:t>"To ensure jurisdictional compliance, multinational organizations must align policies with country-specific laws, while maintaining global AFC principles."</w:t>
      </w:r>
    </w:p>
    <w:p>
      <w:pPr>
        <w:spacing w:before="120" w:after="40"/>
      </w:pPr>
      <w:r>
        <w:rPr>
          <w:b/>
          <w:sz w:val="21"/>
          <w:shd w:fill="D6E4F0" w:val="clear"/>
        </w:rPr>
        <w:t>A项错误</w:t>
      </w:r>
    </w:p>
    <w:p>
      <w:pPr>
        <w:spacing w:line="360" w:lineRule="auto" w:after="40"/>
        <w:ind w:firstLine="420"/>
      </w:pPr>
      <w:r>
        <w:t>题干聚焦跨国组织自身的合规考虑，而选项A关注的是制裁是否影响联合国这类国际机构，题干要素不匹配。</w:t>
      </w:r>
    </w:p>
    <w:p>
      <w:pPr>
        <w:spacing w:before="120" w:after="40"/>
      </w:pPr>
      <w:r>
        <w:rPr>
          <w:b/>
          <w:sz w:val="21"/>
          <w:shd w:fill="D6E4F0" w:val="clear"/>
        </w:rPr>
        <w:t>B项错误</w:t>
      </w:r>
    </w:p>
    <w:p>
      <w:pPr>
        <w:spacing w:line="360" w:lineRule="auto" w:after="40"/>
        <w:ind w:firstLine="420"/>
      </w:pPr>
      <w:r>
        <w:t>教材提到美国制裁因美元地位具有广泛影响，是全球组织的合规关注点</w:t>
      </w:r>
      <w:r>
        <w:rPr>
          <w:sz w:val="15"/>
          <w:vertAlign w:val="superscript"/>
        </w:rPr>
        <w:t>P206</w:t>
      </w:r>
      <w:r>
        <w:t>，但跨国AFC政策的第一要务是贴合运营所在各国的当地法规，而非优先遵循某一国法规。相比之下，教材对跨辖区合规的核心描述更直接支持D。</w:t>
      </w:r>
    </w:p>
    <w:p>
      <w:pPr>
        <w:spacing w:before="120" w:after="40"/>
      </w:pPr>
      <w:r>
        <w:rPr>
          <w:b/>
          <w:sz w:val="21"/>
          <w:shd w:fill="D6E4F0" w:val="clear"/>
        </w:rPr>
        <w:t>C项错误</w:t>
      </w:r>
    </w:p>
    <w:p>
      <w:pPr>
        <w:spacing w:line="360" w:lineRule="auto" w:after="40"/>
        <w:ind w:firstLine="420"/>
      </w:pPr>
      <w:r>
        <w:t>教材明确要求全球性组织应进行差距分析，确保政策涵盖其运营管辖区内的相关当地法规</w:t>
      </w:r>
      <w:r>
        <w:rPr>
          <w:sz w:val="15"/>
          <w:vertAlign w:val="superscript"/>
        </w:rPr>
        <w:t>P294</w:t>
      </w:r>
      <w:r>
        <w:t>，区域或地方政策可反映当地法律、法规和风险。选项C否定适应当地法规的必要性，与教材框架下“先满足当地法规、再追求全球一致性”的匹配度不如D。</w:t>
      </w:r>
    </w:p>
    <w:p>
      <w:pPr>
        <w:spacing w:before="120" w:after="40"/>
      </w:pPr>
      <w:r>
        <w:rPr>
          <w:b/>
          <w:sz w:val="21"/>
          <w:shd w:fill="D6E4F0" w:val="clear"/>
        </w:rPr>
        <w:t>易错提醒</w:t>
      </w:r>
    </w:p>
    <w:p>
      <w:pPr>
        <w:spacing w:line="360" w:lineRule="auto" w:after="40"/>
        <w:ind w:firstLine="420"/>
      </w:pPr>
      <w:r>
        <w:t>跨国AFC计划不是全球统一模板，而是“当地法规为底线 + 高风险区实施更高标准 + 全球原则不冲突”的嵌套结构。若一味追求一致性而忽略本地差异，反而导致合规漏洞。</w:t>
      </w:r>
    </w:p>
    <w:p>
      <w:pPr>
        <w:spacing w:line="360" w:lineRule="auto" w:after="120"/>
      </w:pPr>
      <w:r/>
    </w:p>
    <w:p>
      <w:pPr>
        <w:spacing w:line="360" w:lineRule="auto" w:after="40"/>
      </w:pPr>
      <w:r>
        <w:t>2. 以下哪一项是全球性组织在多个司法管辖区管理反洗钱和制裁合规事务时的关键考虑因素？ ( )</w:t>
      </w:r>
    </w:p>
    <w:p>
      <w:pPr>
        <w:spacing w:line="360" w:lineRule="auto" w:after="20"/>
        <w:ind w:firstLine="283"/>
      </w:pPr>
      <w:r>
        <w:t>A. 仅依靠联合国等国际机构来确保制裁合规,因为没有要求遵守当地法律</w:t>
      </w:r>
    </w:p>
    <w:p>
      <w:pPr>
        <w:spacing w:line="360" w:lineRule="auto" w:after="20"/>
        <w:ind w:firstLine="283"/>
      </w:pPr>
      <w:r>
        <w:t>B. 确保集团政策和程序优先遵循美国法规,因为美国法规在全球范围内最具影响力</w:t>
      </w:r>
    </w:p>
    <w:p>
      <w:pPr>
        <w:spacing w:line="360" w:lineRule="auto" w:after="20"/>
        <w:ind w:firstLine="283"/>
      </w:pPr>
      <w:r>
        <w:t>C. 应用全球的AFC和制裁政策,以确保一致性,无需适应当地法规</w:t>
      </w:r>
    </w:p>
    <w:p>
      <w:pPr>
        <w:spacing w:line="360" w:lineRule="auto" w:after="20"/>
        <w:ind w:firstLine="283"/>
      </w:pPr>
      <w:r>
        <w:t>D. 确保集团政策符合每个国家具体的反洗钱和制裁法规要求</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跨国组织须使政策符合各国法律并维持全球原则</w:t>
      </w:r>
    </w:p>
    <w:p>
      <w:pPr>
        <w:spacing w:before="120" w:after="40"/>
      </w:pPr>
      <w:r>
        <w:rPr>
          <w:b/>
          <w:sz w:val="21"/>
          <w:shd w:fill="D6E4F0" w:val="clear"/>
        </w:rPr>
        <w:t>核心解析</w:t>
      </w:r>
    </w:p>
    <w:p>
      <w:pPr>
        <w:spacing w:line="360" w:lineRule="auto" w:after="40"/>
        <w:ind w:firstLine="420"/>
      </w:pPr>
      <w:r>
        <w:t>跨国组织为确保司法管辖合规，必须使集团政策符合特定国家的法律，同时维持全球反洗钱/反恐融资原则，这可能导致在某些司法管辖区实施更高标准</w:t>
      </w:r>
      <w:r>
        <w:rPr>
          <w:sz w:val="15"/>
          <w:vertAlign w:val="superscript"/>
        </w:rPr>
        <w:t>P292</w:t>
      </w:r>
      <w:r>
        <w:t>。为此，国际金融机构通常会在集团反洗钱政策中附加司法管辖区特定的附录，以应对当地法规差异</w:t>
      </w:r>
      <w:r>
        <w:rPr>
          <w:sz w:val="15"/>
          <w:vertAlign w:val="superscript"/>
        </w:rPr>
        <w:t>P194</w:t>
      </w:r>
      <w:r>
        <w:t>。因此，全球性组织管理多辖区合规的关键考虑，是确保集团政策覆盖每个国家具体的反洗钱和制裁法规要求。选项D直接体现了这一原则。</w:t>
      </w:r>
    </w:p>
    <w:p>
      <w:pPr>
        <w:spacing w:before="120" w:after="40"/>
      </w:pPr>
      <w:r>
        <w:rPr>
          <w:b/>
          <w:sz w:val="21"/>
          <w:shd w:fill="D6E4F0" w:val="clear"/>
        </w:rPr>
        <w:t>教材原句</w:t>
      </w:r>
    </w:p>
    <w:p>
      <w:pPr>
        <w:spacing w:line="360" w:lineRule="auto" w:after="40"/>
        <w:ind w:firstLine="420"/>
      </w:pPr>
      <w:r>
        <w:t>"To ensure jurisdictional compliance, multinational organizations must align policies with country-specific laws, while maintaining global AFC principles."</w:t>
      </w:r>
    </w:p>
    <w:p>
      <w:pPr>
        <w:spacing w:before="120" w:after="40"/>
      </w:pPr>
      <w:r>
        <w:rPr>
          <w:b/>
          <w:sz w:val="21"/>
          <w:shd w:fill="D6E4F0" w:val="clear"/>
        </w:rPr>
        <w:t>A项错误</w:t>
      </w:r>
    </w:p>
    <w:p>
      <w:pPr>
        <w:spacing w:line="360" w:lineRule="auto" w:after="40"/>
        <w:ind w:firstLine="420"/>
      </w:pPr>
      <w:r>
        <w:t>教材要求跨国组织遵守各运营所在地的法律</w:t>
      </w:r>
      <w:r>
        <w:rPr>
          <w:sz w:val="15"/>
          <w:vertAlign w:val="superscript"/>
        </w:rPr>
        <w:t>P292</w:t>
      </w:r>
      <w:r>
        <w:t>，联合国制裁也需要成员国通过国内立法实施</w:t>
      </w:r>
      <w:r>
        <w:rPr>
          <w:sz w:val="15"/>
          <w:vertAlign w:val="superscript"/>
        </w:rPr>
        <w:t>P206</w:t>
      </w:r>
      <w:r>
        <w:t>。相比D所强调的符合每个国家具体法规，A仅依赖国际机构而否认当地法律义务，与教材的管辖合规要求匹配度更低。</w:t>
      </w:r>
    </w:p>
    <w:p>
      <w:pPr>
        <w:spacing w:before="120" w:after="40"/>
      </w:pPr>
      <w:r>
        <w:rPr>
          <w:b/>
          <w:sz w:val="21"/>
          <w:shd w:fill="D6E4F0" w:val="clear"/>
        </w:rPr>
        <w:t>B项错误</w:t>
      </w:r>
    </w:p>
    <w:p>
      <w:pPr>
        <w:spacing w:line="360" w:lineRule="auto" w:after="40"/>
        <w:ind w:firstLine="420"/>
      </w:pPr>
      <w:r>
        <w:t>教材承认美国制裁具有广泛影响，是全球组织的合规关注点</w:t>
      </w:r>
      <w:r>
        <w:rPr>
          <w:sz w:val="15"/>
          <w:vertAlign w:val="superscript"/>
        </w:rPr>
        <w:t>P206</w:t>
      </w:r>
      <w:r>
        <w:t>，但并未将优先遵循美国法规确立为多辖区管理的关键原则。相比之下，教材更直接地要求政策符合所有所在国法律</w:t>
      </w:r>
      <w:r>
        <w:rPr>
          <w:sz w:val="15"/>
          <w:vertAlign w:val="superscript"/>
        </w:rPr>
        <w:t>P292</w:t>
      </w:r>
      <w:r>
        <w:t>，因此B不如D匹配这一核心要求。</w:t>
      </w:r>
    </w:p>
    <w:p>
      <w:pPr>
        <w:spacing w:before="120" w:after="40"/>
      </w:pPr>
      <w:r>
        <w:rPr>
          <w:b/>
          <w:sz w:val="21"/>
          <w:shd w:fill="D6E4F0" w:val="clear"/>
        </w:rPr>
        <w:t>C项错误</w:t>
      </w:r>
    </w:p>
    <w:p>
      <w:pPr>
        <w:spacing w:line="360" w:lineRule="auto" w:after="40"/>
        <w:ind w:firstLine="420"/>
      </w:pPr>
      <w:r>
        <w:t>教材明确要求全球组织进行差距分析，确保政策涵盖当地法规，并允许区域政策反映地方法律和风险</w:t>
      </w:r>
      <w:r>
        <w:rPr>
          <w:sz w:val="15"/>
          <w:vertAlign w:val="superscript"/>
        </w:rPr>
        <w:t>P294</w:t>
      </w:r>
      <w:r>
        <w:t>。C否定当地适应性，与教材原则冲突，故远不如D符合关键考虑。</w:t>
      </w:r>
    </w:p>
    <w:p>
      <w:pPr>
        <w:spacing w:before="120" w:after="40"/>
      </w:pPr>
      <w:r>
        <w:rPr>
          <w:b/>
          <w:sz w:val="21"/>
          <w:shd w:fill="D6E4F0" w:val="clear"/>
        </w:rPr>
        <w:t>易错提醒</w:t>
      </w:r>
    </w:p>
    <w:p>
      <w:pPr>
        <w:spacing w:line="360" w:lineRule="auto" w:after="40"/>
        <w:ind w:firstLine="420"/>
      </w:pPr>
      <w:r>
        <w:t>美国制裁因美元重要性具有广泛影响力</w:t>
      </w:r>
      <w:r>
        <w:rPr>
          <w:sz w:val="15"/>
          <w:vertAlign w:val="superscript"/>
        </w:rPr>
        <w:t>P206</w:t>
      </w:r>
      <w:r>
        <w:t>，但这不意味着全球组织的合规政策应优先遵循美国法规。跨国合规的关键仍是政策符合每个运营所在国的当地法规</w:t>
      </w:r>
      <w:r>
        <w:rPr>
          <w:sz w:val="15"/>
          <w:vertAlign w:val="superscript"/>
        </w:rPr>
        <w:t>P292</w:t>
      </w:r>
      <w:r>
        <w:t>。</w:t>
      </w:r>
    </w:p>
    <w:p>
      <w:pPr>
        <w:spacing w:line="360" w:lineRule="auto" w:after="120"/>
      </w:pPr>
      <w:r/>
    </w:p>
    <w:p>
      <w:pPr>
        <w:spacing w:line="360" w:lineRule="auto" w:after="40"/>
      </w:pPr>
      <w:r>
        <w:t>3. 为防范金融犯罪风险,所实施的政策、控制措施和程序必须: ( )</w:t>
      </w:r>
    </w:p>
    <w:p>
      <w:pPr>
        <w:spacing w:line="360" w:lineRule="auto" w:after="20"/>
        <w:ind w:firstLine="283"/>
      </w:pPr>
      <w:r>
        <w:t>A. 与企业的规模和性质相称,经高级管理层批准,并定期审查</w:t>
      </w:r>
    </w:p>
    <w:p>
      <w:pPr>
        <w:spacing w:line="360" w:lineRule="auto" w:after="20"/>
        <w:ind w:firstLine="283"/>
      </w:pPr>
      <w:r>
        <w:t>B. 仅由第一道防线创建、批准和拥有,并每年进行审查</w:t>
      </w:r>
    </w:p>
    <w:p>
      <w:pPr>
        <w:spacing w:line="360" w:lineRule="auto" w:after="20"/>
        <w:ind w:firstLine="283"/>
      </w:pPr>
      <w:r>
        <w:t>C. 由业务部门完成并由外部公司进行验证</w:t>
      </w:r>
    </w:p>
    <w:p>
      <w:pPr>
        <w:spacing w:line="360" w:lineRule="auto" w:after="20"/>
        <w:ind w:firstLine="283"/>
      </w:pPr>
      <w:r>
        <w:t>D. 采用最新的可用技术,纳入复杂且自动化的控制措施</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识别AFC政策的必备特征：相称性、高级管理层批准、定期审查</w:t>
      </w:r>
    </w:p>
    <w:p>
      <w:pPr>
        <w:spacing w:before="120" w:after="40"/>
      </w:pPr>
      <w:r>
        <w:rPr>
          <w:b/>
          <w:sz w:val="21"/>
          <w:shd w:fill="D6E4F0" w:val="clear"/>
        </w:rPr>
        <w:t>核心解析</w:t>
      </w:r>
    </w:p>
    <w:p>
      <w:pPr>
        <w:spacing w:line="360" w:lineRule="auto" w:after="40"/>
        <w:ind w:firstLine="420"/>
      </w:pPr>
      <w:r>
        <w:t>金融犯罪防控（AFC）政策和程序应根据组织的具体风险状况、风险偏好和规模量身定制</w:t>
      </w:r>
      <w:r>
        <w:rPr>
          <w:sz w:val="15"/>
          <w:vertAlign w:val="superscript"/>
        </w:rPr>
        <w:t>P294</w:t>
      </w:r>
      <w:r>
        <w:t>，即“相称性”。同时，教材要求董事会必须批准AFC计划以展示对合规的承诺</w:t>
      </w:r>
      <w:r>
        <w:rPr>
          <w:sz w:val="15"/>
          <w:vertAlign w:val="superscript"/>
        </w:rPr>
        <w:t>P259</w:t>
      </w:r>
      <w:r>
        <w:t>，这对应“经高级管理层批准”。此外，组织应定期（通常每年）审查并更新这些政策，且频率应基于风险性质，在风险状况可能变化时也需启动审查</w:t>
      </w:r>
      <w:r>
        <w:rPr>
          <w:sz w:val="15"/>
          <w:vertAlign w:val="superscript"/>
        </w:rPr>
        <w:t>P293</w:t>
      </w:r>
      <w:r>
        <w:t>，即“定期审查”。题干问“为防范金融犯罪风险，所实施的政策、控制措施和程序必须”具备何种特征，选项A完整覆盖了教材中这三项基本要求，因此正确。</w:t>
      </w:r>
    </w:p>
    <w:p>
      <w:pPr>
        <w:spacing w:before="120" w:after="40"/>
      </w:pPr>
      <w:r>
        <w:rPr>
          <w:b/>
          <w:sz w:val="21"/>
          <w:shd w:fill="D6E4F0" w:val="clear"/>
        </w:rPr>
        <w:t>教材原句</w:t>
      </w:r>
    </w:p>
    <w:p>
      <w:pPr>
        <w:spacing w:line="360" w:lineRule="auto" w:after="40"/>
        <w:ind w:firstLine="420"/>
      </w:pPr>
      <w:r>
        <w:t>"AFC policies and procedures should be tailored to the specific risk profile, risk appetite, and size of the organization."</w:t>
      </w:r>
    </w:p>
    <w:p>
      <w:pPr>
        <w:spacing w:before="120" w:after="40"/>
      </w:pPr>
      <w:r>
        <w:rPr>
          <w:b/>
          <w:sz w:val="21"/>
          <w:shd w:fill="D6E4F0" w:val="clear"/>
        </w:rPr>
        <w:t>B项错误</w:t>
      </w:r>
    </w:p>
    <w:p>
      <w:pPr>
        <w:spacing w:line="360" w:lineRule="auto" w:after="40"/>
        <w:ind w:firstLine="420"/>
      </w:pPr>
      <w:r>
        <w:t>B将政策所有权限定为“仅由第一道防线”，但教材明确第一道防线负责风险所有权和运营管理，而政策的批准和治理是高级管理层/董事会的职责</w:t>
      </w:r>
      <w:r>
        <w:rPr>
          <w:sz w:val="15"/>
          <w:vertAlign w:val="superscript"/>
        </w:rPr>
        <w:t>P256，P259</w:t>
      </w:r>
      <w:r>
        <w:t>，定期审查通常每年，但频率应由风险驱动</w:t>
      </w:r>
      <w:r>
        <w:rPr>
          <w:sz w:val="15"/>
          <w:vertAlign w:val="superscript"/>
        </w:rPr>
        <w:t>P293</w:t>
      </w:r>
      <w:r>
        <w:t>，并非一刀切的每年审查，且不能排除其他防线的参与。相比之下，A更直接匹配教材对治理结构和审查频率的整体要求。</w:t>
      </w:r>
    </w:p>
    <w:p>
      <w:pPr>
        <w:spacing w:before="120" w:after="40"/>
      </w:pPr>
      <w:r>
        <w:rPr>
          <w:b/>
          <w:sz w:val="21"/>
          <w:shd w:fill="D6E4F0" w:val="clear"/>
        </w:rPr>
        <w:t>C项错误</w:t>
      </w:r>
    </w:p>
    <w:p>
      <w:pPr>
        <w:spacing w:line="360" w:lineRule="auto" w:after="40"/>
        <w:ind w:firstLine="420"/>
      </w:pPr>
      <w:r>
        <w:t>C将政策完成主体限定为“业务部门”且验证主体限定为“外部公司”，但教材指出政策制定和批准应包含法律顾问、其他内部利益相关方以及适当的外部专家</w:t>
      </w:r>
      <w:r>
        <w:rPr>
          <w:sz w:val="15"/>
          <w:vertAlign w:val="superscript"/>
        </w:rPr>
        <w:t>P293</w:t>
      </w:r>
      <w:r>
        <w:t>，且独立测试是AFC计划的关键要素</w:t>
      </w:r>
      <w:r>
        <w:rPr>
          <w:sz w:val="15"/>
          <w:vertAlign w:val="superscript"/>
        </w:rPr>
        <w:t>P244</w:t>
      </w:r>
      <w:r>
        <w:t>，并不仅限于外部公司。题干条件更支持A所体现的多元参与与定期审查，而非C的单一业务部门加外部验证模式。</w:t>
      </w:r>
    </w:p>
    <w:p>
      <w:pPr>
        <w:spacing w:before="120" w:after="40"/>
      </w:pPr>
      <w:r>
        <w:rPr>
          <w:b/>
          <w:sz w:val="21"/>
          <w:shd w:fill="D6E4F0" w:val="clear"/>
        </w:rPr>
        <w:t>D项错误</w:t>
      </w:r>
    </w:p>
    <w:p>
      <w:pPr>
        <w:spacing w:line="360" w:lineRule="auto" w:after="40"/>
        <w:ind w:firstLine="420"/>
      </w:pPr>
      <w:r>
        <w:t>D强调“采用最新的可用技术”和“复杂且自动化的控制措施”，但教材并未将采用最新技术作为政策的唯一必须特征，而是强调平衡自动化与人工监督，根据风险状况选择适当技术</w:t>
      </w:r>
      <w:r>
        <w:rPr>
          <w:sz w:val="15"/>
          <w:vertAlign w:val="superscript"/>
        </w:rPr>
        <w:t>P452</w:t>
      </w:r>
      <w:r>
        <w:t>。题干问的是政策和控制措施本身必须满足的条件，A要求的相称性、管理层批准和审查是教材中直接陈述的基本原则，匹配度更高。</w:t>
      </w:r>
    </w:p>
    <w:p>
      <w:pPr>
        <w:spacing w:before="120" w:after="40"/>
      </w:pPr>
      <w:r>
        <w:rPr>
          <w:b/>
          <w:sz w:val="21"/>
          <w:shd w:fill="D6E4F0" w:val="clear"/>
        </w:rPr>
        <w:t>易错提醒</w:t>
      </w:r>
    </w:p>
    <w:p>
      <w:pPr>
        <w:spacing w:line="360" w:lineRule="auto" w:after="40"/>
        <w:ind w:firstLine="420"/>
      </w:pPr>
      <w:r>
        <w:t>三道防线各有职责：第一道防线负责风险所有权和日常管理，第二道防线负责咨询、政策和合规监控，第三道防线独立审计</w:t>
      </w:r>
      <w:r>
        <w:rPr>
          <w:sz w:val="15"/>
          <w:vertAlign w:val="superscript"/>
        </w:rPr>
        <w:t>P256</w:t>
      </w:r>
      <w:r>
        <w:t>。政策的审批权限在高级管理层/董事会，而非仅由第一道防线掌握。</w:t>
      </w:r>
    </w:p>
    <w:p>
      <w:pPr>
        <w:spacing w:line="360" w:lineRule="auto" w:after="120"/>
      </w:pPr>
      <w:r/>
    </w:p>
    <w:p>
      <w:pPr>
        <w:spacing w:line="360" w:lineRule="auto" w:after="40"/>
      </w:pPr>
      <w:r>
        <w:t>4. 一家金融机构的合规官完成了一位高风险客户的活动调查，发现有强烈的洗钱迹象。该合规官已将调查结果记录在案，并准备建议终止与该客户的业务关系。然而，负责该客户的客户经理对此表示反对，理由是该客户为机构带来了可观的收入。合规官接下来应采取什么措施以确保遵循适当的上报和决策流程？ ( )</w:t>
      </w:r>
    </w:p>
    <w:p>
      <w:pPr>
        <w:spacing w:line="360" w:lineRule="auto" w:after="20"/>
        <w:ind w:firstLine="283"/>
      </w:pPr>
      <w:r>
        <w:t>A. 将此事提交给机构的高风险客户委员会，呈交调查结果并建议终止业务往来，同时也考虑客户经理的顾虑</w:t>
      </w:r>
    </w:p>
    <w:p>
      <w:pPr>
        <w:spacing w:line="360" w:lineRule="auto" w:after="20"/>
        <w:ind w:firstLine="283"/>
      </w:pPr>
      <w:r>
        <w:t>B. 根据其调查结果和反洗钱（AML）方面的顾虑，单方面终止与客户的业务关系</w:t>
      </w:r>
    </w:p>
    <w:p>
      <w:pPr>
        <w:spacing w:line="360" w:lineRule="auto" w:after="20"/>
        <w:ind w:firstLine="283"/>
      </w:pPr>
      <w:r>
        <w:t>C. 试图说服客户经理同意终止合作的建议，强调维持合作关系可能带来的声誉和监管风险</w:t>
      </w:r>
    </w:p>
    <w:p>
      <w:pPr>
        <w:spacing w:line="360" w:lineRule="auto" w:after="20"/>
        <w:ind w:firstLine="283"/>
      </w:pPr>
      <w:r>
        <w:t>D. 推迟终止合作的决定，继续监控客户的活动，等待更多证据来巩固终止合作的理由</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高风险客户审查委员会在客户退出决策中的上报机制</w:t>
      </w:r>
    </w:p>
    <w:p>
      <w:pPr>
        <w:spacing w:before="120" w:after="40"/>
      </w:pPr>
      <w:r>
        <w:rPr>
          <w:b/>
          <w:sz w:val="21"/>
          <w:shd w:fill="D6E4F0" w:val="clear"/>
        </w:rPr>
        <w:t>核心解析</w:t>
      </w:r>
    </w:p>
    <w:p>
      <w:pPr>
        <w:spacing w:line="360" w:lineRule="auto" w:after="40"/>
        <w:ind w:firstLine="420"/>
      </w:pPr>
      <w:r>
        <w:t>高风险客户审查委员会负责评估高风险客户的准入和持续尽职调查，并可就是否退出某一客户发表意见</w:t>
      </w:r>
      <w:r>
        <w:rPr>
          <w:sz w:val="15"/>
          <w:vertAlign w:val="superscript"/>
        </w:rPr>
        <w:t>P295、P296</w:t>
      </w:r>
      <w:r>
        <w:t>。同时，因涉嫌非法活动而终止客户关系必须获得批准</w:t>
      </w:r>
      <w:r>
        <w:rPr>
          <w:sz w:val="15"/>
          <w:vertAlign w:val="superscript"/>
        </w:rPr>
        <w:t>P303</w:t>
      </w:r>
      <w:r>
        <w:t>。本题中，合规官已调查出强烈的洗钱迹象，准备建议终止关系但遭遇客户经理反对。此时最符合流程的做法是将调查结果和建议上报该委员会，由委员会听取各方意见后做出决策，A 选项恰好体现了这一上报和集体决策路径。</w:t>
      </w:r>
    </w:p>
    <w:p>
      <w:pPr>
        <w:spacing w:before="120" w:after="40"/>
      </w:pPr>
      <w:r>
        <w:rPr>
          <w:b/>
          <w:sz w:val="21"/>
          <w:shd w:fill="D6E4F0" w:val="clear"/>
        </w:rPr>
        <w:t>B项错误</w:t>
      </w:r>
    </w:p>
    <w:p>
      <w:pPr>
        <w:spacing w:line="360" w:lineRule="auto" w:after="40"/>
        <w:ind w:firstLine="420"/>
      </w:pPr>
      <w:r>
        <w:t>单方面终止客户关系直接跳过了必需的内部审批程序。教材规定因涉嫌非法活动退出客户需要批准</w:t>
      </w:r>
      <w:r>
        <w:rPr>
          <w:sz w:val="15"/>
          <w:vertAlign w:val="superscript"/>
        </w:rPr>
        <w:t>P303</w:t>
      </w:r>
      <w:r>
        <w:t>，相比之下，A 选项通过委员会集体决策更符合流程要求。</w:t>
      </w:r>
    </w:p>
    <w:p>
      <w:pPr>
        <w:spacing w:before="120" w:after="40"/>
      </w:pPr>
      <w:r>
        <w:rPr>
          <w:b/>
          <w:sz w:val="21"/>
          <w:shd w:fill="D6E4F0" w:val="clear"/>
        </w:rPr>
        <w:t>C项错误</w:t>
      </w:r>
    </w:p>
    <w:p>
      <w:pPr>
        <w:spacing w:line="360" w:lineRule="auto" w:after="40"/>
        <w:ind w:firstLine="420"/>
      </w:pPr>
      <w:r>
        <w:t>试图说服客户经理虽然指出了声誉和监管风险，但并未将决策正式上报至治理委员会。关系经理存在利益冲突</w:t>
      </w:r>
      <w:r>
        <w:rPr>
          <w:sz w:val="15"/>
          <w:vertAlign w:val="superscript"/>
        </w:rPr>
        <w:t>P71</w:t>
      </w:r>
      <w:r>
        <w:t>，仅靠说服难以确保决策的独立性和合规性，不如 A 选项的上报机制直接有效。</w:t>
      </w:r>
    </w:p>
    <w:p>
      <w:pPr>
        <w:spacing w:before="120" w:after="40"/>
      </w:pPr>
      <w:r>
        <w:rPr>
          <w:b/>
          <w:sz w:val="21"/>
          <w:shd w:fill="D6E4F0" w:val="clear"/>
        </w:rPr>
        <w:t>D项错误</w:t>
      </w:r>
    </w:p>
    <w:p>
      <w:pPr>
        <w:spacing w:line="360" w:lineRule="auto" w:after="40"/>
        <w:ind w:firstLine="420"/>
      </w:pPr>
      <w:r>
        <w:t>推迟决定与已发现强烈洗钱迹象并完成调查的事实相悖。题干条件已支持立即建议退出，继续监控可能延误必要的风险缓释，且教材未将此行为列为调查完成后的首选动作，相比之下 A 选项的上报行动更紧迫且合规。</w:t>
      </w:r>
    </w:p>
    <w:p>
      <w:pPr>
        <w:spacing w:before="120" w:after="40"/>
      </w:pPr>
      <w:r>
        <w:rPr>
          <w:b/>
          <w:sz w:val="21"/>
          <w:shd w:fill="D6E4F0" w:val="clear"/>
        </w:rPr>
        <w:t>易错提醒</w:t>
      </w:r>
    </w:p>
    <w:p>
      <w:pPr>
        <w:spacing w:line="360" w:lineRule="auto" w:after="40"/>
        <w:ind w:firstLine="420"/>
      </w:pPr>
      <w:r>
        <w:t>调查完成后，合规官不能单方面决定终止高风险客户关系，必须提交至高风险客户审查委员会，依据机构治理流程集体决策。教材规定终止需经批准</w:t>
      </w:r>
      <w:r>
        <w:rPr>
          <w:sz w:val="15"/>
          <w:vertAlign w:val="superscript"/>
        </w:rPr>
        <w:t>P303</w:t>
      </w:r>
      <w:r>
        <w:t>，直接行动会违反内部合规要求。</w:t>
      </w:r>
    </w:p>
    <w:p>
      <w:pPr>
        <w:spacing w:line="360" w:lineRule="auto" w:after="120"/>
      </w:pPr>
      <w:r/>
    </w:p>
    <w:p>
      <w:pPr>
        <w:spacing w:line="360" w:lineRule="auto" w:after="40"/>
      </w:pPr>
      <w:r>
        <w:t>5. 对于金融机构的高级管理层而言,哪项关键指标能为其提供有关反洗钱控制措施有效性的最有价值的数据？ ( )</w:t>
      </w:r>
    </w:p>
    <w:p>
      <w:pPr>
        <w:spacing w:line="360" w:lineRule="auto" w:after="20"/>
        <w:ind w:firstLine="283"/>
      </w:pPr>
      <w:r>
        <w:t>A. 自动监测系统生成的真阳性与假阳性之比</w:t>
      </w:r>
    </w:p>
    <w:p>
      <w:pPr>
        <w:spacing w:line="360" w:lineRule="auto" w:after="20"/>
        <w:ind w:firstLine="283"/>
      </w:pPr>
      <w:r>
        <w:t>B. 监测名单筛查系统生成的洗钱警报数量</w:t>
      </w:r>
    </w:p>
    <w:p>
      <w:pPr>
        <w:spacing w:line="360" w:lineRule="auto" w:after="20"/>
        <w:ind w:firstLine="283"/>
      </w:pPr>
      <w:r>
        <w:t>C. 每月新引入的高风险客户数量</w:t>
      </w:r>
    </w:p>
    <w:p>
      <w:pPr>
        <w:spacing w:line="360" w:lineRule="auto" w:after="20"/>
        <w:ind w:firstLine="283"/>
      </w:pPr>
      <w:r>
        <w:t>D. 因商业原因退出的客户数量</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区分关键绩效指标与关键风险指标的评价维度</w:t>
      </w:r>
    </w:p>
    <w:p>
      <w:pPr>
        <w:spacing w:before="120" w:after="40"/>
      </w:pPr>
      <w:r>
        <w:rPr>
          <w:b/>
          <w:sz w:val="21"/>
          <w:shd w:fill="D6E4F0" w:val="clear"/>
        </w:rPr>
        <w:t>核心解析</w:t>
      </w:r>
    </w:p>
    <w:p>
      <w:pPr>
        <w:spacing w:line="360" w:lineRule="auto" w:after="40"/>
        <w:ind w:firstLine="420"/>
      </w:pPr>
      <w:r>
        <w:t>题干问的是衡量反洗钱“控制措施有效性”的指标。教材将这类指标划入关键绩效指标的范畴，定义为衡量金融犯罪防控控制有效性的量化标准，具体包括可疑活动报告提交时限、筛查误报率降低情况等</w:t>
      </w:r>
      <w:r>
        <w:rPr>
          <w:sz w:val="15"/>
          <w:vertAlign w:val="superscript"/>
        </w:rPr>
        <w:t>P296</w:t>
      </w:r>
      <w:r>
        <w:t>。“真阳性与假阳性之比”这个指标，本质就是看监测系统抓准了多少、误报了多少——抓准的比例高、误报的比例低，就意味着识别可疑交易的系统更精准、更有效，直接落在上述定义范围内。相比之下，警报数量、新引入高风险客户数、商业原因退出的客户数，或者描述风险敞口，或者指向外部商业决策，并不直接回应“控制措施本身好不好用”这一问。</w:t>
      </w:r>
    </w:p>
    <w:p>
      <w:pPr>
        <w:spacing w:before="120" w:after="40"/>
      </w:pPr>
      <w:r>
        <w:rPr>
          <w:b/>
          <w:sz w:val="21"/>
          <w:shd w:fill="D6E4F0" w:val="clear"/>
        </w:rPr>
        <w:t>教材原句</w:t>
      </w:r>
    </w:p>
    <w:p>
      <w:pPr>
        <w:spacing w:line="360" w:lineRule="auto" w:after="40"/>
        <w:ind w:firstLine="420"/>
      </w:pPr>
      <w:r>
        <w:t>"Key performance indicators (KPI) are measures of AFC control effectiveness, such as SAR filing timelines, false positive reduction rates in screening, and alert resolution times."</w:t>
      </w:r>
    </w:p>
    <w:p>
      <w:pPr>
        <w:spacing w:before="120" w:after="40"/>
      </w:pPr>
      <w:r>
        <w:rPr>
          <w:b/>
          <w:sz w:val="21"/>
          <w:shd w:fill="D6E4F0" w:val="clear"/>
        </w:rPr>
        <w:t>B项错误</w:t>
      </w:r>
    </w:p>
    <w:p>
      <w:pPr>
        <w:spacing w:line="360" w:lineRule="auto" w:after="40"/>
        <w:ind w:firstLine="420"/>
      </w:pPr>
      <w:r>
        <w:t>警报数量描述的是系统触发了多少警报信号，教材虽然把它列为监控校准中的一项关键指标</w:t>
      </w:r>
      <w:r>
        <w:rPr>
          <w:sz w:val="15"/>
          <w:vertAlign w:val="superscript"/>
        </w:rPr>
        <w:t>P446</w:t>
      </w:r>
      <w:r>
        <w:t>，但它反映的是触发量的大小，与“控制措施是否精准有效”的匹配度不如能同时衡量命中与误报的比率来得直接。题干更匹配直接评价有效性的关键绩效指标，而非单纯的警报产量。</w:t>
      </w:r>
    </w:p>
    <w:p>
      <w:pPr>
        <w:spacing w:before="120" w:after="40"/>
      </w:pPr>
      <w:r>
        <w:rPr>
          <w:b/>
          <w:sz w:val="21"/>
          <w:shd w:fill="D6E4F0" w:val="clear"/>
        </w:rPr>
        <w:t>C项错误</w:t>
      </w:r>
    </w:p>
    <w:p>
      <w:pPr>
        <w:spacing w:line="360" w:lineRule="auto" w:after="40"/>
        <w:ind w:firstLine="420"/>
      </w:pPr>
      <w:r>
        <w:t>每月新引入的高风险客户数量反映的是风险敞口的流入情况，在教材框架中属于评估金融犯罪防控风险的关键风险指标</w:t>
      </w:r>
      <w:r>
        <w:rPr>
          <w:sz w:val="15"/>
          <w:vertAlign w:val="superscript"/>
        </w:rPr>
        <w:t>P296</w:t>
      </w:r>
      <w:r>
        <w:t>，侧重衡量风险本身，题干要求的却是对控制措施有效性的评价，在衡量维度上不如真阳性与假阳性之比更吻合。</w:t>
      </w:r>
    </w:p>
    <w:p>
      <w:pPr>
        <w:spacing w:before="120" w:after="40"/>
      </w:pPr>
      <w:r>
        <w:rPr>
          <w:b/>
          <w:sz w:val="21"/>
          <w:shd w:fill="D6E4F0" w:val="clear"/>
        </w:rPr>
        <w:t>D项错误</w:t>
      </w:r>
    </w:p>
    <w:p>
      <w:pPr>
        <w:spacing w:line="360" w:lineRule="auto" w:after="40"/>
        <w:ind w:firstLine="420"/>
      </w:pPr>
      <w:r>
        <w:t>题干未提及客户退出的原因为合规相关，选项明确限定为“因商业原因退出”，与反洗钱控制措施的有效性没有直接关联。教材中提及因合规原因退出的客户名单</w:t>
      </w:r>
      <w:r>
        <w:rPr>
          <w:sz w:val="15"/>
          <w:vertAlign w:val="superscript"/>
        </w:rPr>
        <w:t>P466</w:t>
      </w:r>
      <w:r>
        <w:t>或欺诈终止关系</w:t>
      </w:r>
      <w:r>
        <w:rPr>
          <w:sz w:val="15"/>
          <w:vertAlign w:val="superscript"/>
        </w:rPr>
        <w:t>P422</w:t>
      </w:r>
      <w:r>
        <w:t>均为与金融犯罪风险相关的情形，与商业原因属于不同范畴。</w:t>
      </w:r>
    </w:p>
    <w:p>
      <w:pPr>
        <w:spacing w:before="120" w:after="40"/>
      </w:pPr>
      <w:r>
        <w:rPr>
          <w:b/>
          <w:sz w:val="21"/>
          <w:shd w:fill="D6E4F0" w:val="clear"/>
        </w:rPr>
        <w:t>易错提醒</w:t>
      </w:r>
    </w:p>
    <w:p>
      <w:pPr>
        <w:spacing w:line="360" w:lineRule="auto" w:after="40"/>
        <w:ind w:firstLine="420"/>
      </w:pPr>
      <w:r>
        <w:t>关键风险指标衡量的是风险敞口（如可疑交易量、高风险客户数），回答“有多险”；关键绩效指标衡量的是控制措施的成效（如误报率、报告时限），回答“管得怎么样”。题目问的是“有效性”，匹配的是关键绩效指标。</w:t>
      </w:r>
    </w:p>
    <w:p>
      <w:pPr>
        <w:spacing w:line="360" w:lineRule="auto" w:after="120"/>
      </w:pPr>
      <w:r/>
    </w:p>
    <w:p>
      <w:pPr>
        <w:spacing w:line="360" w:lineRule="auto" w:after="40"/>
      </w:pPr>
      <w:r>
        <w:t>6. 为防范金融犯罪风险,所实施的政策、控制措施和程序必须: ( )</w:t>
      </w:r>
    </w:p>
    <w:p>
      <w:pPr>
        <w:spacing w:line="360" w:lineRule="auto" w:after="20"/>
        <w:ind w:firstLine="283"/>
      </w:pPr>
      <w:r>
        <w:t>A. 包括采用最新技术(例如人工智能(AI)和机器学习)的复杂且自动化的控制.</w:t>
      </w:r>
    </w:p>
    <w:p>
      <w:pPr>
        <w:spacing w:line="360" w:lineRule="auto" w:after="20"/>
        <w:ind w:firstLine="283"/>
      </w:pPr>
      <w:r>
        <w:t>B. 与企业的规模和性质相称,经高级管理层批准,并定期审查</w:t>
      </w:r>
    </w:p>
    <w:p>
      <w:pPr>
        <w:spacing w:line="360" w:lineRule="auto" w:after="20"/>
        <w:ind w:firstLine="283"/>
      </w:pPr>
      <w:r>
        <w:t>C. 由企业完成并由外部机构(例如审计或咨询公司)进行验证</w:t>
      </w:r>
    </w:p>
    <w:p>
      <w:pPr>
        <w:spacing w:line="360" w:lineRule="auto" w:after="20"/>
        <w:ind w:firstLine="283"/>
      </w:pPr>
      <w:r>
        <w:t>D. 仅由第一道防线业务团队创建、批准和拥有,并每年进行审查</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金融犯罪防控政策程序的核心要求：相称性、高管批准、定期审查</w:t>
      </w:r>
    </w:p>
    <w:p>
      <w:pPr>
        <w:spacing w:before="120" w:after="40"/>
      </w:pPr>
      <w:r>
        <w:rPr>
          <w:b/>
          <w:sz w:val="21"/>
          <w:shd w:fill="D6E4F0" w:val="clear"/>
        </w:rPr>
        <w:t>核心解析</w:t>
      </w:r>
    </w:p>
    <w:p>
      <w:pPr>
        <w:spacing w:line="360" w:lineRule="auto" w:after="40"/>
        <w:ind w:firstLine="420"/>
      </w:pPr>
      <w:r>
        <w:t>金融犯罪防控（AFC）政策和程序应根据组织的具体风险状况、风险偏好和规模量身定制</w:t>
      </w:r>
      <w:r>
        <w:rPr>
          <w:sz w:val="15"/>
          <w:vertAlign w:val="superscript"/>
        </w:rPr>
        <w:t>P294</w:t>
      </w:r>
      <w:r>
        <w:t>，董事会必须批准AFC计划以展示合规承诺</w:t>
      </w:r>
      <w:r>
        <w:rPr>
          <w:sz w:val="15"/>
          <w:vertAlign w:val="superscript"/>
        </w:rPr>
        <w:t>P259</w:t>
      </w:r>
      <w:r>
        <w:t>，且机构应定期（通常每年）审查和更新这些政策</w:t>
      </w:r>
      <w:r>
        <w:rPr>
          <w:sz w:val="15"/>
          <w:vertAlign w:val="superscript"/>
        </w:rPr>
        <w:t>P293</w:t>
      </w:r>
      <w:r>
        <w:t>。题干要求所实施的政策、控制措施和程序必须满足的条件，B项同时覆盖了相称性、高级管理层批准和定期审查三项教材规定的核心要求，因此直接成立。</w:t>
      </w:r>
    </w:p>
    <w:p>
      <w:pPr>
        <w:spacing w:before="120" w:after="40"/>
      </w:pPr>
      <w:r>
        <w:rPr>
          <w:b/>
          <w:sz w:val="21"/>
          <w:shd w:fill="D6E4F0" w:val="clear"/>
        </w:rPr>
        <w:t>教材原句</w:t>
      </w:r>
    </w:p>
    <w:p>
      <w:pPr>
        <w:spacing w:line="360" w:lineRule="auto" w:after="40"/>
        <w:ind w:firstLine="420"/>
      </w:pPr>
      <w:r>
        <w:t>"AFC policies and procedures should be tailored to the specific risk profile, risk appetite, and size of the organization."</w:t>
      </w:r>
    </w:p>
    <w:p>
      <w:pPr>
        <w:spacing w:before="120" w:after="40"/>
      </w:pPr>
      <w:r>
        <w:rPr>
          <w:b/>
          <w:sz w:val="21"/>
          <w:shd w:fill="D6E4F0" w:val="clear"/>
        </w:rPr>
        <w:t>A项错误</w:t>
      </w:r>
    </w:p>
    <w:p>
      <w:pPr>
        <w:spacing w:line="360" w:lineRule="auto" w:after="40"/>
        <w:ind w:firstLine="420"/>
      </w:pPr>
      <w:r>
        <w:t>教材鼓励投资先进监控技术以防范金融犯罪</w:t>
      </w:r>
      <w:r>
        <w:rPr>
          <w:sz w:val="15"/>
          <w:vertAlign w:val="superscript"/>
        </w:rPr>
        <w:t>P44</w:t>
      </w:r>
      <w:r>
        <w:t>，但并未规定政策必须包含最新技术如人工智能和机器学习。政策的核心要求是“相称”，而非强制使用特定技术，因此B比A更直接匹配题干所问的“必须”条件。</w:t>
      </w:r>
    </w:p>
    <w:p>
      <w:pPr>
        <w:spacing w:before="120" w:after="40"/>
      </w:pPr>
      <w:r>
        <w:rPr>
          <w:b/>
          <w:sz w:val="21"/>
          <w:shd w:fill="D6E4F0" w:val="clear"/>
        </w:rPr>
        <w:t>C项错误</w:t>
      </w:r>
    </w:p>
    <w:p>
      <w:pPr>
        <w:spacing w:line="360" w:lineRule="auto" w:after="40"/>
        <w:ind w:firstLine="420"/>
      </w:pPr>
      <w:r>
        <w:t>独立测试是AFC项目的关键要素</w:t>
      </w:r>
      <w:r>
        <w:rPr>
          <w:sz w:val="15"/>
          <w:vertAlign w:val="superscript"/>
        </w:rPr>
        <w:t>P243</w:t>
      </w:r>
      <w:r>
        <w:t>，但教材未要求政策和程序必须由外部机构（如审计或咨询公司）进行验证。独立测试可由内部行使，题干条件更直接匹配B项所包含的相称性、批准和审查要求。</w:t>
      </w:r>
    </w:p>
    <w:p>
      <w:pPr>
        <w:spacing w:before="120" w:after="40"/>
      </w:pPr>
      <w:r>
        <w:rPr>
          <w:b/>
          <w:sz w:val="21"/>
          <w:shd w:fill="D6E4F0" w:val="clear"/>
        </w:rPr>
        <w:t>D项错误</w:t>
      </w:r>
    </w:p>
    <w:p>
      <w:pPr>
        <w:spacing w:line="360" w:lineRule="auto" w:after="40"/>
        <w:ind w:firstLine="420"/>
      </w:pPr>
      <w:r>
        <w:t>教材指出董事会和高级管理层需批准和监督AFC计划（P259-260），第一道防线负责执行，但政策创建、批准并非仅由第一道防线。B项中“经高级管理层批准”更吻合教材对治理层角色的定义。</w:t>
      </w:r>
    </w:p>
    <w:p>
      <w:pPr>
        <w:spacing w:before="120" w:after="40"/>
      </w:pPr>
      <w:r>
        <w:rPr>
          <w:b/>
          <w:sz w:val="21"/>
          <w:shd w:fill="D6E4F0" w:val="clear"/>
        </w:rPr>
        <w:t>易错提醒</w:t>
      </w:r>
    </w:p>
    <w:p>
      <w:pPr>
        <w:spacing w:line="360" w:lineRule="auto" w:after="40"/>
        <w:ind w:firstLine="420"/>
      </w:pPr>
      <w:r>
        <w:t>独立测试（independent testing）是AFC项目关键要素，但不强制由外部机构执行；可由内部审计或独立合规部门完成</w:t>
      </w:r>
      <w:r>
        <w:rPr>
          <w:sz w:val="15"/>
          <w:vertAlign w:val="superscript"/>
        </w:rPr>
        <w:t>P243</w:t>
      </w:r>
      <w:r>
        <w:t>。注意区分“必须由外部验证”与“独立测试”的边界。</w:t>
      </w:r>
    </w:p>
    <w:p>
      <w:pPr>
        <w:spacing w:line="360" w:lineRule="auto" w:after="120"/>
      </w:pPr>
      <w:r/>
    </w:p>
    <w:p>
      <w:pPr>
        <w:spacing w:line="360" w:lineRule="auto" w:after="40"/>
      </w:pPr>
      <w:r>
        <w:t>7. 合规官正在编制管理报告信息，以便为领导层提供有关机构客户群体所涉金融犯罪风险的见解。以下哪两项是应纳入报告的关键风险指标，以便领导层能够监测客户群体固有风险是否出现任何重大变化？(选择两项。) ( )</w:t>
      </w:r>
    </w:p>
    <w:p>
      <w:pPr>
        <w:spacing w:line="360" w:lineRule="auto" w:after="20"/>
        <w:ind w:firstLine="283"/>
      </w:pPr>
      <w:r>
        <w:t>A. 高风险客户未在规定监管期限内完成的监管报告所占百分比</w:t>
      </w:r>
    </w:p>
    <w:p>
      <w:pPr>
        <w:spacing w:line="360" w:lineRule="auto" w:after="20"/>
        <w:ind w:firstLine="283"/>
      </w:pPr>
      <w:r>
        <w:t>B. 与上一季度相比，提交调查的交易监控警报数量的百分比变化</w:t>
      </w:r>
    </w:p>
    <w:p>
      <w:pPr>
        <w:spacing w:line="360" w:lineRule="auto" w:after="20"/>
        <w:ind w:firstLine="283"/>
      </w:pPr>
      <w:r>
        <w:t>C. 未能在KYC政策服务级别协议(SLA)要求的时间内完成开户验证的客户所占百分比</w:t>
      </w:r>
    </w:p>
    <w:p>
      <w:pPr>
        <w:spacing w:line="360" w:lineRule="auto" w:after="20"/>
        <w:ind w:firstLine="283"/>
      </w:pPr>
      <w:r>
        <w:t>D. 过去一个季度新签约的高级政治公众人物(PEP)的数量及占比，与所有活跃客户的数量相比</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区分关键风险指标(KRI)与关键绩效指标(KPI)</w:t>
      </w:r>
    </w:p>
    <w:p>
      <w:pPr>
        <w:spacing w:before="120" w:after="40"/>
      </w:pPr>
      <w:r>
        <w:rPr>
          <w:b/>
          <w:sz w:val="21"/>
          <w:shd w:fill="D6E4F0" w:val="clear"/>
        </w:rPr>
        <w:t>核心解析</w:t>
      </w:r>
    </w:p>
    <w:p>
      <w:pPr>
        <w:spacing w:line="360" w:lineRule="auto" w:after="40"/>
        <w:ind w:firstLine="420"/>
      </w:pPr>
      <w:r>
        <w:t>固有风险指机构在应用任何缓解控制措施之前面临的金融犯罪风险水平</w:t>
      </w:r>
      <w:r>
        <w:rPr>
          <w:sz w:val="15"/>
          <w:vertAlign w:val="superscript"/>
        </w:rPr>
        <w:t>P275</w:t>
      </w:r>
      <w:r>
        <w:t>。关键风险指标（KRI）是用于评估金融犯罪风险的定量和定性指标，包括可疑交易量及趋势、尽职调查积压和监控系统缺陷等</w:t>
      </w:r>
      <w:r>
        <w:rPr>
          <w:sz w:val="15"/>
          <w:vertAlign w:val="superscript"/>
        </w:rPr>
        <w:t>P296</w:t>
      </w:r>
      <w:r>
        <w:t>。题干要求通过报告监测“客户群体固有风险是否出现任何重大变化”，因此排除衡量控制有效性的指标。选项B“提交调查的交易监控警报数量的百分比变化”直接反映客户异常交易活动的风险趋势，属于KRI中的可疑交易量趋势；选项D“新签约的高级政治公众人物（PEP）数量及占比”反映高风险客户在客户群体中的构成变化，也与固有风险直接相关。两者都能指示客户群体固有风险是否发生重大变动，同时避开了衡量流程效率或控制及时性的指标。</w:t>
      </w:r>
    </w:p>
    <w:p>
      <w:pPr>
        <w:spacing w:before="120" w:after="40"/>
      </w:pPr>
      <w:r>
        <w:rPr>
          <w:b/>
          <w:sz w:val="21"/>
          <w:shd w:fill="D6E4F0" w:val="clear"/>
        </w:rPr>
        <w:t>教材原句</w:t>
      </w:r>
    </w:p>
    <w:p>
      <w:pPr>
        <w:spacing w:line="360" w:lineRule="auto" w:after="40"/>
        <w:ind w:firstLine="420"/>
      </w:pPr>
      <w:r>
        <w:t>"Key risk indicators (KRI) are quantitative and qualitative metrics assessing AFC risks, including suspicious transaction volumes and trends, due diligence review backlog, and monitoring system deficiencies."</w:t>
      </w:r>
    </w:p>
    <w:p>
      <w:pPr>
        <w:spacing w:before="120" w:after="40"/>
      </w:pPr>
      <w:r>
        <w:rPr>
          <w:b/>
          <w:sz w:val="21"/>
          <w:shd w:fill="D6E4F0" w:val="clear"/>
        </w:rPr>
        <w:t>A项错误</w:t>
      </w:r>
    </w:p>
    <w:p>
      <w:pPr>
        <w:spacing w:line="360" w:lineRule="auto" w:after="40"/>
        <w:ind w:firstLine="420"/>
      </w:pPr>
      <w:r>
        <w:t>选项A测量的是监管报告是否在时限内完成，更吻合关键绩效指标（KPI）的定义——衡量控制措施的有效性，如可疑活动报告提交时限等</w:t>
      </w:r>
      <w:r>
        <w:rPr>
          <w:sz w:val="15"/>
          <w:vertAlign w:val="superscript"/>
        </w:rPr>
        <w:t>P296</w:t>
      </w:r>
      <w:r>
        <w:t>。题干关注固有风险的变化，而时限完成率反映的是机构控制流程的执行效率，不如选项B、D那样直接体现客户群体风险水平的波动。</w:t>
      </w:r>
    </w:p>
    <w:p>
      <w:pPr>
        <w:spacing w:before="120" w:after="40"/>
      </w:pPr>
      <w:r>
        <w:rPr>
          <w:b/>
          <w:sz w:val="21"/>
          <w:shd w:fill="D6E4F0" w:val="clear"/>
        </w:rPr>
        <w:t>C项错误</w:t>
      </w:r>
    </w:p>
    <w:p>
      <w:pPr>
        <w:spacing w:line="360" w:lineRule="auto" w:after="40"/>
        <w:ind w:firstLine="420"/>
      </w:pPr>
      <w:r>
        <w:t>选项C衡量开户验证是否在KYC政策的SLA时限内完成，属于运营流程的效率指标，与教材中KPI的示例（如误报降低率、警报解决时间等）更为匹配。在监测固有风险变化的要求下，开户验证的时效性无法直接体现客户群体所蕴含的洗钱等金融犯罪风险本身的起伏，相较于正确项，它更偏向控制执行而非风险本质。</w:t>
      </w:r>
    </w:p>
    <w:p>
      <w:pPr>
        <w:spacing w:before="120" w:after="40"/>
      </w:pPr>
      <w:r>
        <w:rPr>
          <w:b/>
          <w:sz w:val="21"/>
          <w:shd w:fill="D6E4F0" w:val="clear"/>
        </w:rPr>
        <w:t>易错提醒</w:t>
      </w:r>
    </w:p>
    <w:p>
      <w:pPr>
        <w:spacing w:line="360" w:lineRule="auto" w:after="40"/>
        <w:ind w:firstLine="420"/>
      </w:pPr>
      <w:r>
        <w:t>KRI与KPI的核心区分：KRI衡量风险本身的水平和变化（如可疑交易量趋势、高风险客户占比），KPI衡量控制措施的效果与效率（如报告提交时限、误报降低率）。两者均在内部报告中出现</w:t>
      </w:r>
      <w:r>
        <w:rPr>
          <w:sz w:val="15"/>
          <w:vertAlign w:val="superscript"/>
        </w:rPr>
        <w:t>P296</w:t>
      </w:r>
      <w:r>
        <w:t>，但题干锁定“固有风险变化”，故只能选KRI。</w:t>
      </w:r>
    </w:p>
    <w:p>
      <w:pPr>
        <w:spacing w:line="360" w:lineRule="auto" w:after="120"/>
      </w:pPr>
      <w:r/>
    </w:p>
    <w:p>
      <w:pPr>
        <w:spacing w:line="360" w:lineRule="auto" w:after="40"/>
      </w:pPr>
      <w:r>
        <w:t>8. [反洗钱/打击资助恐怖主义合规计划]委员会应当对其职责范围有清晰明确的界定,以确保其有效运作和治理,这一界定通常载于一份被称为"职权范围"(ToR)的文件中.通常在工作范围说明书中会包含哪些关键要素？(选择三项.) ( )</w:t>
      </w:r>
    </w:p>
    <w:p>
      <w:pPr>
        <w:spacing w:line="360" w:lineRule="auto" w:after="20"/>
        <w:ind w:firstLine="283"/>
      </w:pPr>
      <w:r>
        <w:t>A. 参会人员组织结构图</w:t>
      </w:r>
    </w:p>
    <w:p>
      <w:pPr>
        <w:spacing w:line="360" w:lineRule="auto" w:after="20"/>
        <w:ind w:firstLine="283"/>
      </w:pPr>
      <w:r>
        <w:t>B. 权力范围和决策能力</w:t>
      </w:r>
    </w:p>
    <w:p>
      <w:pPr>
        <w:spacing w:line="360" w:lineRule="auto" w:after="20"/>
        <w:ind w:firstLine="283"/>
      </w:pPr>
      <w:r>
        <w:t>C. 公司文化与价值观</w:t>
      </w:r>
    </w:p>
    <w:p>
      <w:pPr>
        <w:spacing w:line="360" w:lineRule="auto" w:after="20"/>
        <w:ind w:firstLine="283"/>
      </w:pPr>
      <w:r>
        <w:t>D. 组成与结构</w:t>
      </w:r>
    </w:p>
    <w:p>
      <w:pPr>
        <w:spacing w:line="360" w:lineRule="auto" w:after="20"/>
        <w:ind w:firstLine="283"/>
      </w:pPr>
      <w:r>
        <w:t>E. 权限的授予</w:t>
      </w:r>
    </w:p>
    <w:p>
      <w:pPr>
        <w:spacing w:line="360" w:lineRule="auto" w:after="40"/>
      </w:pPr>
      <w:r>
        <w:t>答案:B、D、E</w:t>
      </w:r>
    </w:p>
    <w:p>
      <w:pPr>
        <w:spacing w:line="360" w:lineRule="auto" w:after="40"/>
      </w:pPr>
      <w:r>
        <w:t>解析：</w:t>
      </w:r>
    </w:p>
    <w:p>
      <w:pPr>
        <w:spacing w:before="120" w:after="40"/>
      </w:pPr>
      <w:r>
        <w:rPr>
          <w:b/>
          <w:sz w:val="21"/>
          <w:shd w:fill="D6E4F0" w:val="clear"/>
        </w:rPr>
        <w:t>考点</w:t>
      </w:r>
    </w:p>
    <w:p>
      <w:pPr>
        <w:spacing w:line="360" w:lineRule="auto" w:after="40"/>
        <w:ind w:firstLine="420"/>
      </w:pPr>
      <w:r>
        <w:t>委员会“职权范围”文件的核心构成要素</w:t>
      </w:r>
    </w:p>
    <w:p>
      <w:pPr>
        <w:spacing w:before="120" w:after="40"/>
      </w:pPr>
      <w:r>
        <w:rPr>
          <w:b/>
          <w:sz w:val="21"/>
          <w:shd w:fill="D6E4F0" w:val="clear"/>
        </w:rPr>
        <w:t>核心解析</w:t>
      </w:r>
    </w:p>
    <w:p>
      <w:pPr>
        <w:spacing w:line="360" w:lineRule="auto" w:after="40"/>
        <w:ind w:firstLine="420"/>
      </w:pPr>
      <w:r>
        <w:t>委员会必须依据一份概述其任务、职责和权力的职权范围文件运作</w:t>
      </w:r>
      <w:r>
        <w:rPr>
          <w:sz w:val="15"/>
          <w:vertAlign w:val="superscript"/>
        </w:rPr>
        <w:t>P294</w:t>
      </w:r>
      <w:r>
        <w:t>。这决定了该文件的核心是界定委员会能做什么、由谁组成、以及内部权限如何分配。题干要求选出职权范围文件通常包含的关键要素：选项B“权力范围和决策能力”直接对应文件中的“权力”；选项D“组成与结构”是任务和职责得以履行的基础架构，教材也强调治理委员会必须根据风险状况等要素进行构建</w:t>
      </w:r>
      <w:r>
        <w:rPr>
          <w:sz w:val="15"/>
          <w:vertAlign w:val="superscript"/>
        </w:rPr>
        <w:t>P294</w:t>
      </w:r>
      <w:r>
        <w:t>；选项E“权限的授予”则体现了职权范围文件中关于职责和权力如何在组织内分配的治理功能。这三个选项共同勾勒出委员会“做什么、谁来做、权限如何”的完整治理框架，与教材的定义最吻合。</w:t>
      </w:r>
    </w:p>
    <w:p>
      <w:pPr>
        <w:spacing w:before="120" w:after="40"/>
      </w:pPr>
      <w:r>
        <w:rPr>
          <w:b/>
          <w:sz w:val="21"/>
          <w:shd w:fill="D6E4F0" w:val="clear"/>
        </w:rPr>
        <w:t>教材原句</w:t>
      </w:r>
    </w:p>
    <w:p>
      <w:pPr>
        <w:spacing w:line="360" w:lineRule="auto" w:after="40"/>
        <w:ind w:firstLine="420"/>
      </w:pPr>
      <w:r>
        <w:t>"Each committee must operate under a terms-of-reference document, which outlines its mandate, responsibilities, and authority."</w:t>
      </w:r>
    </w:p>
    <w:p>
      <w:pPr>
        <w:spacing w:before="120" w:after="40"/>
      </w:pPr>
      <w:r>
        <w:rPr>
          <w:b/>
          <w:sz w:val="21"/>
          <w:shd w:fill="D6E4F0" w:val="clear"/>
        </w:rPr>
        <w:t>A项错误</w:t>
      </w:r>
    </w:p>
    <w:p>
      <w:pPr>
        <w:spacing w:line="360" w:lineRule="auto" w:after="40"/>
        <w:ind w:firstLine="420"/>
      </w:pPr>
      <w:r>
        <w:t>“参会人员组织结构图”更像是落实一次具体会议所需的后勤文件，而非界定委员会自身权限和架构的章程性文件。教材在P294虽提及会议纪要需记录具体决定和反对意见，但组织架构图通常由企业自身的行政规定决定，在匹配度上不如直接围绕职责和权力的正确项。</w:t>
      </w:r>
    </w:p>
    <w:p>
      <w:pPr>
        <w:spacing w:before="120" w:after="40"/>
      </w:pPr>
      <w:r>
        <w:rPr>
          <w:b/>
          <w:sz w:val="21"/>
          <w:shd w:fill="D6E4F0" w:val="clear"/>
        </w:rPr>
        <w:t>C项错误</w:t>
      </w:r>
    </w:p>
    <w:p>
      <w:pPr>
        <w:spacing w:line="360" w:lineRule="auto" w:after="40"/>
        <w:ind w:firstLine="420"/>
      </w:pPr>
      <w:r>
        <w:t>教材在阐述“高层基调”和合规文化时，将其视为董事会认可和领导层倡导的结果</w:t>
      </w:r>
      <w:r>
        <w:rPr>
          <w:sz w:val="15"/>
          <w:vertAlign w:val="superscript"/>
        </w:rPr>
        <w:t>P259，P264</w:t>
      </w:r>
      <w:r>
        <w:t>，这是一种贯穿整个组织的价值导向。相比之下，选项B、D、E定义的是委员会职权范围文件中更直接的、事务性的治理功能，因此“公司文化与价值观”在概念层级上与职权范围文件的匹配度较低。</w:t>
      </w:r>
    </w:p>
    <w:p>
      <w:pPr>
        <w:spacing w:before="120" w:after="40"/>
      </w:pPr>
      <w:r>
        <w:rPr>
          <w:b/>
          <w:sz w:val="21"/>
          <w:shd w:fill="D6E4F0" w:val="clear"/>
        </w:rPr>
        <w:t>易错提醒</w:t>
      </w:r>
    </w:p>
    <w:p>
      <w:pPr>
        <w:spacing w:line="360" w:lineRule="auto" w:after="40"/>
        <w:ind w:firstLine="420"/>
      </w:pPr>
      <w:r>
        <w:t>区分“委员会职权范围”与“公司治理文件”：委员会职权范围文件（ToR）聚焦于界定任务、职责、权力、组成与内部授权等操作性要素</w:t>
      </w:r>
      <w:r>
        <w:rPr>
          <w:sz w:val="15"/>
          <w:vertAlign w:val="superscript"/>
        </w:rPr>
        <w:t>P294</w:t>
      </w:r>
      <w:r>
        <w:t>。公司文化、价值观等则属于“高层基调”范畴，由董事会声明和合规文化来倡导（P259, P264），不属于委员会职权范围文件需定义的内容。</w:t>
      </w:r>
    </w:p>
    <w:p>
      <w:pPr>
        <w:spacing w:line="360" w:lineRule="auto" w:after="120"/>
      </w:pPr>
      <w:r/>
    </w:p>
    <w:p>
      <w:pPr>
        <w:spacing w:line="360" w:lineRule="auto" w:after="40"/>
      </w:pPr>
      <w:r>
        <w:t>9. 一个恰当的组织政策是:(选择两项.) ( )</w:t>
      </w:r>
    </w:p>
    <w:p>
      <w:pPr>
        <w:spacing w:line="360" w:lineRule="auto" w:after="20"/>
        <w:ind w:firstLine="283"/>
      </w:pPr>
      <w:r>
        <w:t>A. 最新且反映了所有相关的监管动态</w:t>
      </w:r>
    </w:p>
    <w:p>
      <w:pPr>
        <w:spacing w:line="360" w:lineRule="auto" w:after="20"/>
        <w:ind w:firstLine="283"/>
      </w:pPr>
      <w:r>
        <w:t>B. 经董事会和监管机构批准通过</w:t>
      </w:r>
    </w:p>
    <w:p>
      <w:pPr>
        <w:spacing w:line="360" w:lineRule="auto" w:after="20"/>
        <w:ind w:firstLine="283"/>
      </w:pPr>
      <w:r>
        <w:t>C. 经客户和第三方批准</w:t>
      </w:r>
    </w:p>
    <w:p>
      <w:pPr>
        <w:spacing w:line="360" w:lineRule="auto" w:after="20"/>
        <w:ind w:firstLine="283"/>
      </w:pPr>
      <w:r>
        <w:t>D. 向员工清晰传达并被其理解</w:t>
      </w:r>
    </w:p>
    <w:p>
      <w:pPr>
        <w:spacing w:line="360" w:lineRule="auto" w:after="40"/>
      </w:pPr>
      <w:r>
        <w:t>答案:A、D</w:t>
      </w:r>
    </w:p>
    <w:p>
      <w:pPr>
        <w:spacing w:line="360" w:lineRule="auto" w:after="40"/>
      </w:pPr>
      <w:r>
        <w:t>解析：</w:t>
      </w:r>
    </w:p>
    <w:p>
      <w:pPr>
        <w:spacing w:before="120" w:after="40"/>
      </w:pPr>
      <w:r>
        <w:rPr>
          <w:b/>
          <w:sz w:val="21"/>
          <w:shd w:fill="D6E4F0" w:val="clear"/>
        </w:rPr>
        <w:t>考点</w:t>
      </w:r>
    </w:p>
    <w:p>
      <w:pPr>
        <w:spacing w:line="360" w:lineRule="auto" w:after="40"/>
        <w:ind w:firstLine="420"/>
      </w:pPr>
      <w:r>
        <w:t>金融犯罪防控政策的充分性标准：更新频率与传达有效性</w:t>
      </w:r>
    </w:p>
    <w:p>
      <w:pPr>
        <w:spacing w:before="120" w:after="40"/>
      </w:pPr>
      <w:r>
        <w:rPr>
          <w:b/>
          <w:sz w:val="21"/>
          <w:shd w:fill="D6E4F0" w:val="clear"/>
        </w:rPr>
        <w:t>核心解析</w:t>
      </w:r>
    </w:p>
    <w:p>
      <w:pPr>
        <w:spacing w:line="360" w:lineRule="auto" w:after="40"/>
        <w:ind w:firstLine="420"/>
      </w:pPr>
      <w:r>
        <w:t>教材对“恰当的”金融犯罪防控政策给出两条核心标准：一是内容必须持续更新——受监管机构须制定书面金融犯罪防控政策和程序</w:t>
      </w:r>
      <w:r>
        <w:rPr>
          <w:sz w:val="15"/>
          <w:vertAlign w:val="superscript"/>
        </w:rPr>
        <w:t>P293</w:t>
      </w:r>
      <w:r>
        <w:t>，且由于金融犯罪防控环境高度动态，组织需进行地平线扫描以关注新兴问题和监管动态</w:t>
      </w:r>
      <w:r>
        <w:rPr>
          <w:sz w:val="15"/>
          <w:vertAlign w:val="superscript"/>
        </w:rPr>
        <w:t>P293</w:t>
      </w:r>
      <w:r>
        <w:t>，因此政策必须“最新且反映了所有相关的监管动态”；二是政策必须被员工获取和理解——批准后的政策和程序应持续对所有员工开放可访问</w:t>
      </w:r>
      <w:r>
        <w:rPr>
          <w:sz w:val="15"/>
          <w:vertAlign w:val="superscript"/>
        </w:rPr>
        <w:t>P293</w:t>
      </w:r>
      <w:r>
        <w:t>，且组织应批准、记录并及时向员工传达任何变更</w:t>
      </w:r>
      <w:r>
        <w:rPr>
          <w:sz w:val="15"/>
          <w:vertAlign w:val="superscript"/>
        </w:rPr>
        <w:t>P293</w:t>
      </w:r>
      <w:r>
        <w:t>，因此政策必须“向员工清晰传达并被其理解”。选项A对应更新要求，选项D对应传达要求，两者在教材同章同页被并列规定为政策的充分性要件。</w:t>
      </w:r>
    </w:p>
    <w:p>
      <w:pPr>
        <w:spacing w:before="120" w:after="40"/>
      </w:pPr>
      <w:r>
        <w:rPr>
          <w:b/>
          <w:sz w:val="21"/>
          <w:shd w:fill="D6E4F0" w:val="clear"/>
        </w:rPr>
        <w:t>教材原句</w:t>
      </w:r>
    </w:p>
    <w:p>
      <w:pPr>
        <w:spacing w:line="360" w:lineRule="auto" w:after="40"/>
        <w:ind w:firstLine="420"/>
      </w:pPr>
      <w:r>
        <w:t>"Once approved, policies and procedures should be accessible to all employees on an ongoing basis."</w:t>
      </w:r>
    </w:p>
    <w:p>
      <w:pPr>
        <w:spacing w:before="120" w:after="40"/>
      </w:pPr>
      <w:r>
        <w:rPr>
          <w:b/>
          <w:sz w:val="21"/>
          <w:shd w:fill="D6E4F0" w:val="clear"/>
        </w:rPr>
        <w:t>B项错误</w:t>
      </w:r>
    </w:p>
    <w:p>
      <w:pPr>
        <w:spacing w:line="360" w:lineRule="auto" w:after="40"/>
        <w:ind w:firstLine="420"/>
      </w:pPr>
      <w:r>
        <w:t>教材规定政策的制定和批准应包含法律顾问、其他内部利益相关方及适当的外部专家参与</w:t>
      </w:r>
      <w:r>
        <w:rPr>
          <w:sz w:val="15"/>
          <w:vertAlign w:val="superscript"/>
        </w:rPr>
        <w:t>P293</w:t>
      </w:r>
      <w:r>
        <w:t>，而非必须经监管机构批准。监管机构是政策合规性的检查者，不是审批者。董事会负有监督职责</w:t>
      </w:r>
      <w:r>
        <w:rPr>
          <w:sz w:val="15"/>
          <w:vertAlign w:val="superscript"/>
        </w:rPr>
        <w:t>P289</w:t>
      </w:r>
      <w:r>
        <w:t>，但其角色是批准风险偏好声明</w:t>
      </w:r>
      <w:r>
        <w:rPr>
          <w:sz w:val="15"/>
          <w:vertAlign w:val="superscript"/>
        </w:rPr>
        <w:t>P243</w:t>
      </w:r>
      <w:r>
        <w:t>而非逐项批准政策内容。题干问的是“恰当的组织政策”的普遍特征，政策须经监管机构批准这一要求在教材框架中缺乏依据，与A、D两项相比，匹配度不如。</w:t>
      </w:r>
    </w:p>
    <w:p>
      <w:pPr>
        <w:spacing w:before="120" w:after="40"/>
      </w:pPr>
      <w:r>
        <w:rPr>
          <w:b/>
          <w:sz w:val="21"/>
          <w:shd w:fill="D6E4F0" w:val="clear"/>
        </w:rPr>
        <w:t>C项错误</w:t>
      </w:r>
    </w:p>
    <w:p>
      <w:pPr>
        <w:spacing w:line="360" w:lineRule="auto" w:after="40"/>
        <w:ind w:firstLine="420"/>
      </w:pPr>
      <w:r>
        <w:t>教材显示客户和第三方是金融机构尽调的对象（P310-P313），客户和第三方批准政策的逻辑等于让被监督对象审批监督规则。题干要求的“组织政策”是金融机构内部治理文件，其制定权限限于组织自身及内部利益相关方，选项C所涉主体在教材政策制定框架中不存在匹配要素。</w:t>
      </w:r>
    </w:p>
    <w:p>
      <w:pPr>
        <w:spacing w:before="120" w:after="40"/>
      </w:pPr>
      <w:r>
        <w:rPr>
          <w:b/>
          <w:sz w:val="21"/>
          <w:shd w:fill="D6E4F0" w:val="clear"/>
        </w:rPr>
        <w:t>易错提醒</w:t>
      </w:r>
    </w:p>
    <w:p>
      <w:pPr>
        <w:spacing w:line="360" w:lineRule="auto" w:after="40"/>
        <w:ind w:firstLine="420"/>
      </w:pPr>
      <w:r>
        <w:t>董事会“监督”不等于“批准政策内容”。教材规定董事会批准风险偏好声明</w:t>
      </w:r>
      <w:r>
        <w:rPr>
          <w:sz w:val="15"/>
          <w:vertAlign w:val="superscript"/>
        </w:rPr>
        <w:t>P243</w:t>
      </w:r>
      <w:r>
        <w:t>，并须积极监督反洗钱合规</w:t>
      </w:r>
      <w:r>
        <w:rPr>
          <w:sz w:val="15"/>
          <w:vertAlign w:val="superscript"/>
        </w:rPr>
        <w:t>P289</w:t>
      </w:r>
      <w:r>
        <w:t>，但政策的制定和批准应包含法律顾问等利益相关方</w:t>
      </w:r>
      <w:r>
        <w:rPr>
          <w:sz w:val="15"/>
          <w:vertAlign w:val="superscript"/>
        </w:rPr>
        <w:t>P293</w:t>
      </w:r>
      <w:r>
        <w:t>，未要求董事会逐项审批政策。题干选项B将“监督”和“批准”概念混淆为审批动作。</w:t>
      </w:r>
    </w:p>
    <w:p>
      <w:pPr>
        <w:spacing w:line="360" w:lineRule="auto" w:after="120"/>
      </w:pPr>
      <w:r/>
    </w:p>
    <w:p>
      <w:pPr>
        <w:spacing w:line="360" w:lineRule="auto" w:after="40"/>
      </w:pPr>
      <w:r>
        <w:t>10. 在制定和维护银行的反洗钱政策、标准和程序时,除了反洗钱法律法规外,还应该参考哪些信息来源？(选择三项.) ( )</w:t>
      </w:r>
    </w:p>
    <w:p>
      <w:pPr>
        <w:spacing w:line="360" w:lineRule="auto" w:after="20"/>
        <w:ind w:firstLine="283"/>
      </w:pPr>
      <w:r>
        <w:t>A. 国家风险评估</w:t>
      </w:r>
    </w:p>
    <w:p>
      <w:pPr>
        <w:spacing w:line="360" w:lineRule="auto" w:after="20"/>
        <w:ind w:firstLine="283"/>
      </w:pPr>
      <w:r>
        <w:t>B. 监管指导或出版物</w:t>
      </w:r>
    </w:p>
    <w:p>
      <w:pPr>
        <w:spacing w:line="360" w:lineRule="auto" w:after="20"/>
        <w:ind w:firstLine="283"/>
      </w:pPr>
      <w:r>
        <w:t>C. 政府或国有报纸</w:t>
      </w:r>
    </w:p>
    <w:p>
      <w:pPr>
        <w:spacing w:line="360" w:lineRule="auto" w:after="20"/>
        <w:ind w:firstLine="283"/>
      </w:pPr>
      <w:r>
        <w:t>D. 国际组织发布的指导文件</w:t>
      </w:r>
    </w:p>
    <w:p>
      <w:pPr>
        <w:spacing w:line="360" w:lineRule="auto" w:after="20"/>
        <w:ind w:firstLine="283"/>
      </w:pPr>
      <w:r>
        <w:t>E. 其他银行制定的政策和程序</w:t>
      </w:r>
    </w:p>
    <w:p>
      <w:pPr>
        <w:spacing w:line="360" w:lineRule="auto" w:after="40"/>
      </w:pPr>
      <w:r>
        <w:t>答案:A、B、D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识别制定AML政策时除法律外应参考的指引来源</w:t>
      </w:r>
    </w:p>
    <w:p>
      <w:pPr>
        <w:spacing w:before="120" w:after="40"/>
      </w:pPr>
      <w:r>
        <w:rPr>
          <w:b/>
          <w:sz w:val="21"/>
          <w:shd w:fill="D6E4F0" w:val="clear"/>
        </w:rPr>
        <w:t>核心解析</w:t>
      </w:r>
    </w:p>
    <w:p>
      <w:pPr>
        <w:spacing w:line="360" w:lineRule="auto" w:after="40"/>
        <w:ind w:firstLine="420"/>
      </w:pPr>
      <w:r>
        <w:t>制定银行反洗钱政策与程序时，除遵守国家反洗钱法律外，教材指出机构通常会选择将其政策与金融行动特别工作组（FATF）建议、巴塞尔委员会（BCBS）指南以及监管预期保持一致</w:t>
      </w:r>
      <w:r>
        <w:rPr>
          <w:sz w:val="15"/>
          <w:vertAlign w:val="superscript"/>
        </w:rPr>
        <w:t>P291</w:t>
      </w:r>
      <w:r>
        <w:t>。国家风险评估（NRA）识别国家层面的洗钱与恐怖融资威胁及高风险领域</w:t>
      </w:r>
      <w:r>
        <w:rPr>
          <w:sz w:val="15"/>
          <w:vertAlign w:val="superscript"/>
        </w:rPr>
        <w:t>P268</w:t>
      </w:r>
      <w:r>
        <w:t>，为基于风险的方法量身定制政策提供关键依据。监管机构发布的指导文件虽然通常无法律强制力，但监管机构期望银行考虑并纳入其反洗钱控制</w:t>
      </w:r>
      <w:r>
        <w:rPr>
          <w:sz w:val="15"/>
          <w:vertAlign w:val="superscript"/>
        </w:rPr>
        <w:t>P224</w:t>
      </w:r>
      <w:r>
        <w:t>。国际组织（如FATF、世界银行等）发布的指导文件亦被教材列为制定风险评估和反洗钱框架的重要方法来源（P225, P170）。因此，选项A（国家风险评估）、B（监管指导或出版物）和D（国际组织发布的指导文件）均构成制定政策时应直接参考的非法律法规来源。</w:t>
      </w:r>
    </w:p>
    <w:p>
      <w:pPr>
        <w:spacing w:before="120" w:after="40"/>
      </w:pPr>
      <w:r>
        <w:rPr>
          <w:b/>
          <w:sz w:val="21"/>
          <w:shd w:fill="D6E4F0" w:val="clear"/>
        </w:rPr>
        <w:t>教材原句</w:t>
      </w:r>
    </w:p>
    <w:p>
      <w:pPr>
        <w:spacing w:line="360" w:lineRule="auto" w:after="40"/>
        <w:ind w:firstLine="420"/>
      </w:pPr>
      <w:r>
        <w:t>"Institutions typically choose to align their policies with FATF Recommendations, Basel Committee on Banking Supervision (BCBS) guidelines, national AML laws, and regulatory expectations."</w:t>
      </w:r>
    </w:p>
    <w:p>
      <w:pPr>
        <w:spacing w:before="120" w:after="40"/>
      </w:pPr>
      <w:r>
        <w:rPr>
          <w:b/>
          <w:sz w:val="21"/>
          <w:shd w:fill="D6E4F0" w:val="clear"/>
        </w:rPr>
        <w:t>C项错误</w:t>
      </w:r>
    </w:p>
    <w:p>
      <w:pPr>
        <w:spacing w:line="360" w:lineRule="auto" w:after="40"/>
        <w:ind w:firstLine="420"/>
      </w:pPr>
      <w:r>
        <w:t>教材在列举制定政策应参考的来源时，明确指向监管机构发布的指导文件和国家风险评估等正式文件（P224, P268），并未将政府或国有报纸视为直接的政策制定参考。报纸虽可能报道相关动态，但不如监管机构正式发布的指导文件那样具备针对性和规范效力。</w:t>
      </w:r>
    </w:p>
    <w:p>
      <w:pPr>
        <w:spacing w:before="120" w:after="40"/>
      </w:pPr>
      <w:r>
        <w:rPr>
          <w:b/>
          <w:sz w:val="21"/>
          <w:shd w:fill="D6E4F0" w:val="clear"/>
        </w:rPr>
        <w:t>E项错误</w:t>
      </w:r>
    </w:p>
    <w:p>
      <w:pPr>
        <w:spacing w:line="360" w:lineRule="auto" w:after="40"/>
        <w:ind w:firstLine="420"/>
      </w:pPr>
      <w:r>
        <w:t>教材要求政策必须根据机构自身的风险敞口、客户概况和地理风险因素量身定制</w:t>
      </w:r>
      <w:r>
        <w:rPr>
          <w:sz w:val="15"/>
          <w:vertAlign w:val="superscript"/>
        </w:rPr>
        <w:t>P292</w:t>
      </w:r>
      <w:r>
        <w:t>，并与FATF建议、巴塞尔委员会指南及监管预期保持一致</w:t>
      </w:r>
      <w:r>
        <w:rPr>
          <w:sz w:val="15"/>
          <w:vertAlign w:val="superscript"/>
        </w:rPr>
        <w:t>P291</w:t>
      </w:r>
      <w:r>
        <w:t>。其他银行的实践可能有参考价值，但在教材框架下，直接参照其他银行既成的政策和程序，不如依据监管指引和国际标准那样贴合风险为本和合规为本的原则。</w:t>
      </w:r>
    </w:p>
    <w:p>
      <w:pPr>
        <w:spacing w:before="120" w:after="40"/>
      </w:pPr>
      <w:r>
        <w:rPr>
          <w:b/>
          <w:sz w:val="21"/>
          <w:shd w:fill="D6E4F0" w:val="clear"/>
        </w:rPr>
        <w:t>易错提醒</w:t>
      </w:r>
    </w:p>
    <w:p>
      <w:pPr>
        <w:spacing w:line="360" w:lineRule="auto" w:after="40"/>
        <w:ind w:firstLine="420"/>
      </w:pPr>
      <w:r>
        <w:t>区分监管机构发布的正式“指导文件”（guidance）与政府运营的报纸。前者被教材列为制定政策时须考虑的直接参考</w:t>
      </w:r>
      <w:r>
        <w:rPr>
          <w:sz w:val="15"/>
          <w:vertAlign w:val="superscript"/>
        </w:rPr>
        <w:t>P224</w:t>
      </w:r>
      <w:r>
        <w:t>，后者仅为一般信息渠道，教材未将其作为政策制定参考来源。</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