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w:t>
      </w:r>
    </w:p>
    <w:p>
      <w:pPr>
        <w:spacing w:line="360" w:lineRule="auto" w:after="160"/>
      </w:pPr>
      <w:r>
        <w:t>一、单项选择题</w:t>
      </w:r>
    </w:p>
    <w:p>
      <w:pPr>
        <w:spacing w:line="360" w:lineRule="auto" w:after="40"/>
      </w:pPr>
      <w:r>
        <w:t>1. 以下关于通风报信的陈述,哪一项是正确的？ ( )</w:t>
      </w:r>
    </w:p>
    <w:p>
      <w:pPr>
        <w:spacing w:line="360" w:lineRule="auto" w:after="20"/>
        <w:ind w:firstLine="283"/>
      </w:pPr>
      <w:r>
        <w:t>A. 提示义务仅适用于AFC专业人士和银行工作人员,因为他们需要提交可疑活动报告(SAR).</w:t>
      </w:r>
    </w:p>
    <w:p>
      <w:pPr>
        <w:spacing w:line="360" w:lineRule="auto" w:after="20"/>
        <w:ind w:firstLine="283"/>
      </w:pPr>
      <w:r>
        <w:t>B. 泄密是指未经授权向可能成为调查对象或可能妨碍调查的第三方披露有关金融犯罪调查的机密信息的犯罪行为.</w:t>
      </w:r>
    </w:p>
    <w:p>
      <w:pPr>
        <w:spacing w:line="360" w:lineRule="auto" w:after="20"/>
        <w:ind w:firstLine="283"/>
      </w:pPr>
      <w:r>
        <w:t>C. 当对交易监控系统已标记的客户进行详细询问时,不构成通风报信.</w:t>
      </w:r>
    </w:p>
    <w:p>
      <w:pPr>
        <w:spacing w:line="360" w:lineRule="auto" w:after="20"/>
        <w:ind w:firstLine="283"/>
      </w:pPr>
      <w:r>
        <w:t>D. 当发现异常交易时,反洗钱专员可以指示客户经理与客户沟通,以决定是否应提交可疑交易报告.</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识别通风报信（tipping off）的定义及其犯罪性质</w:t>
      </w:r>
    </w:p>
    <w:p>
      <w:pPr>
        <w:spacing w:before="120" w:after="40"/>
      </w:pPr>
      <w:r>
        <w:rPr>
          <w:b/>
          <w:sz w:val="21"/>
          <w:shd w:fill="D6E4F0" w:val="clear"/>
        </w:rPr>
        <w:t>核心解析</w:t>
      </w:r>
    </w:p>
    <w:p>
      <w:pPr>
        <w:spacing w:line="360" w:lineRule="auto" w:after="40"/>
        <w:ind w:firstLine="420"/>
      </w:pPr>
      <w:r>
        <w:t>通风报信指调查人员有意或无意地向调查对象透露其活动被监控的行为，反洗钱法规禁止此举，且在某些情况下构成重罪，员工可能面临刑事指控</w:t>
      </w:r>
      <w:r>
        <w:rPr>
          <w:sz w:val="15"/>
          <w:vertAlign w:val="superscript"/>
        </w:rPr>
        <w:t>P340，P336</w:t>
      </w:r>
      <w:r>
        <w:t>。选项B描述“未经授权向可能成为调查对象或可能妨碍调查的第三方披露有关金融犯罪调查的机密信息的犯罪行为”，在未经授权披露调查相关信息、可能向调查对象泄露监控事实等核心要素上与教材定义一致，准确概括了通风报信的犯罪本质。</w:t>
      </w:r>
    </w:p>
    <w:p>
      <w:pPr>
        <w:spacing w:before="120" w:after="40"/>
      </w:pPr>
      <w:r>
        <w:rPr>
          <w:b/>
          <w:sz w:val="21"/>
          <w:shd w:fill="D6E4F0" w:val="clear"/>
        </w:rPr>
        <w:t>教材原句</w:t>
      </w:r>
    </w:p>
    <w:p>
      <w:pPr>
        <w:spacing w:line="360" w:lineRule="auto" w:after="40"/>
        <w:ind w:firstLine="420"/>
      </w:pPr>
      <w:r>
        <w:t>"Tipping off occurs when an investigator intentionally or unintentionally alerts the subject of an investigation that their activities are being monitored, particularly with suspicions of money laundering or financial crimes."</w:t>
      </w:r>
    </w:p>
    <w:p>
      <w:pPr>
        <w:spacing w:before="120" w:after="40"/>
      </w:pPr>
      <w:r>
        <w:rPr>
          <w:b/>
          <w:sz w:val="21"/>
          <w:shd w:fill="D6E4F0" w:val="clear"/>
        </w:rPr>
        <w:t>A项错误</w:t>
      </w:r>
    </w:p>
    <w:p>
      <w:pPr>
        <w:spacing w:line="360" w:lineRule="auto" w:after="40"/>
        <w:ind w:firstLine="420"/>
      </w:pPr>
      <w:r>
        <w:t>教材要求所有员工必须保密，避免向客户通风报信</w:t>
      </w:r>
      <w:r>
        <w:rPr>
          <w:sz w:val="15"/>
          <w:vertAlign w:val="superscript"/>
        </w:rPr>
        <w:t>P339</w:t>
      </w:r>
      <w:r>
        <w:t>，并不限于AFC专业人士和银行工作人员。选项A将义务主体限定为特定岗位，范围过窄，不如B项匹配教材的全员保密要求。</w:t>
      </w:r>
    </w:p>
    <w:p>
      <w:pPr>
        <w:spacing w:before="120" w:after="40"/>
      </w:pPr>
      <w:r>
        <w:rPr>
          <w:b/>
          <w:sz w:val="21"/>
          <w:shd w:fill="D6E4F0" w:val="clear"/>
        </w:rPr>
        <w:t>C项错误</w:t>
      </w:r>
    </w:p>
    <w:p>
      <w:pPr>
        <w:spacing w:line="360" w:lineRule="auto" w:after="40"/>
        <w:ind w:firstLine="420"/>
      </w:pPr>
      <w:r>
        <w:t>向客户进行详细询问时，若处理不当仍可能透露调查信息，构成通风报信</w:t>
      </w:r>
      <w:r>
        <w:rPr>
          <w:sz w:val="15"/>
          <w:vertAlign w:val="superscript"/>
        </w:rPr>
        <w:t>P340</w:t>
      </w:r>
      <w:r>
        <w:t>。选项C称“不构成通风报信”过于绝对，教材并未给出此类询问的绝对安全港，相比B项直接匹配定义，该说法与教材的谨慎立场不符。</w:t>
      </w:r>
    </w:p>
    <w:p>
      <w:pPr>
        <w:spacing w:before="120" w:after="40"/>
      </w:pPr>
      <w:r>
        <w:rPr>
          <w:b/>
          <w:sz w:val="21"/>
          <w:shd w:fill="D6E4F0" w:val="clear"/>
        </w:rPr>
        <w:t>D项错误</w:t>
      </w:r>
    </w:p>
    <w:p>
      <w:pPr>
        <w:spacing w:line="360" w:lineRule="auto" w:after="40"/>
        <w:ind w:firstLine="420"/>
      </w:pPr>
      <w:r>
        <w:t>向客户披露SAR内容或暗示已提交SAR构成通风报信</w:t>
      </w:r>
      <w:r>
        <w:rPr>
          <w:sz w:val="15"/>
          <w:vertAlign w:val="superscript"/>
        </w:rPr>
        <w:t>P353</w:t>
      </w:r>
      <w:r>
        <w:t>，让客户经理与客户沟通以决定是否提交SAR极可能泄露可疑信息，违反保密规则。相比之下，B项更吻合教材对通风报信禁止行为的界定。</w:t>
      </w:r>
    </w:p>
    <w:p>
      <w:pPr>
        <w:spacing w:before="120" w:after="40"/>
      </w:pPr>
      <w:r>
        <w:rPr>
          <w:b/>
          <w:sz w:val="21"/>
          <w:shd w:fill="D6E4F0" w:val="clear"/>
        </w:rPr>
        <w:t>易错提醒</w:t>
      </w:r>
    </w:p>
    <w:p>
      <w:pPr>
        <w:spacing w:line="360" w:lineRule="auto" w:after="40"/>
        <w:ind w:firstLine="420"/>
      </w:pPr>
      <w:r>
        <w:t>通风报信与合法客户尽职调查询问的核心区别在于：询问时是否直接或间接让对方获悉调查正在进行或已提交SAR（P339-340）。保持沟通内容限于获取事实信息，避免提及可疑活动或报告状态，是避免违法的关键。</w:t>
      </w:r>
    </w:p>
    <w:p>
      <w:pPr>
        <w:spacing w:line="360" w:lineRule="auto" w:after="120"/>
      </w:pPr>
      <w:r/>
    </w:p>
    <w:p>
      <w:pPr>
        <w:spacing w:line="360" w:lineRule="auto" w:after="40"/>
      </w:pPr>
      <w:r>
        <w:t>2. 一名反洗钱分析师正在审查一项警报，需要进一步收集信息以判断风险。以下哪项是最合理的下一步行动？ ( )</w:t>
      </w:r>
    </w:p>
    <w:p>
      <w:pPr>
        <w:spacing w:line="360" w:lineRule="auto" w:after="20"/>
        <w:ind w:firstLine="283"/>
      </w:pPr>
      <w:r>
        <w:t>A. 限制客户访问账户</w:t>
      </w:r>
    </w:p>
    <w:p>
      <w:pPr>
        <w:spacing w:line="360" w:lineRule="auto" w:after="20"/>
        <w:ind w:firstLine="283"/>
      </w:pPr>
      <w:r>
        <w:t>B. 向负责引发警报账户的关系经理请求信息</w:t>
      </w:r>
    </w:p>
    <w:p>
      <w:pPr>
        <w:spacing w:line="360" w:lineRule="auto" w:after="20"/>
        <w:ind w:firstLine="283"/>
      </w:pPr>
      <w:r>
        <w:t>C. 进行线下测试，以确保自动化监控系统运行有效</w:t>
      </w:r>
    </w:p>
    <w:p>
      <w:pPr>
        <w:spacing w:line="360" w:lineRule="auto" w:after="20"/>
        <w:ind w:firstLine="283"/>
      </w:pPr>
      <w:r>
        <w:t>D. 向引发警报的交易所涉及的交易对手银行发送信息请求</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警报审查阶段通过内部关系经理收集信息以判断风险的合理性</w:t>
      </w:r>
    </w:p>
    <w:p>
      <w:pPr>
        <w:spacing w:before="120" w:after="40"/>
      </w:pPr>
      <w:r>
        <w:rPr>
          <w:b/>
          <w:sz w:val="21"/>
          <w:shd w:fill="D6E4F0" w:val="clear"/>
        </w:rPr>
        <w:t>核心解析</w:t>
      </w:r>
    </w:p>
    <w:p>
      <w:pPr>
        <w:spacing w:line="360" w:lineRule="auto" w:after="40"/>
        <w:ind w:firstLine="420"/>
      </w:pPr>
      <w:r>
        <w:t>交易监控警报审查流程要求分析师在初始阶段通过评估警报性质、交易类型、客户资料等数据点检查警报有效性</w:t>
      </w:r>
      <w:r>
        <w:rPr>
          <w:sz w:val="15"/>
          <w:vertAlign w:val="superscript"/>
        </w:rPr>
        <w:t>P334</w:t>
      </w:r>
      <w:r>
        <w:t>，并全面审查内外部信息源以决定下一步行动</w:t>
      </w:r>
      <w:r>
        <w:rPr>
          <w:sz w:val="15"/>
          <w:vertAlign w:val="superscript"/>
        </w:rPr>
        <w:t>P338</w:t>
      </w:r>
      <w:r>
        <w:t>。当需要的信息超出内部数据或公开来源时，分析师可借助关系经理或一线员工联系客户或合作机构获取补充信息，关系经理最适合进行客户外联并将结果反馈给分析师</w:t>
      </w:r>
      <w:r>
        <w:rPr>
          <w:sz w:val="15"/>
          <w:vertAlign w:val="superscript"/>
        </w:rPr>
        <w:t>P339</w:t>
      </w:r>
      <w:r>
        <w:t>。题干的警报审查活动尚需信息以判断风险，属于警报有效性检查与信息收集阶段，因此向负责账户的关系经理请求信息是符合流程且合理的第一步，直接对应教材规定的信息获取路径。</w:t>
      </w:r>
    </w:p>
    <w:p>
      <w:pPr>
        <w:spacing w:before="120" w:after="40"/>
      </w:pPr>
      <w:r>
        <w:rPr>
          <w:b/>
          <w:sz w:val="21"/>
          <w:shd w:fill="D6E4F0" w:val="clear"/>
        </w:rPr>
        <w:t>A项错误</w:t>
      </w:r>
    </w:p>
    <w:p>
      <w:pPr>
        <w:spacing w:line="360" w:lineRule="auto" w:after="40"/>
        <w:ind w:firstLine="420"/>
      </w:pPr>
      <w:r>
        <w:t>教材提到分析师在深入调查后可建议账户限制作为预防措施</w:t>
      </w:r>
      <w:r>
        <w:rPr>
          <w:sz w:val="15"/>
          <w:vertAlign w:val="superscript"/>
        </w:rPr>
        <w:t>P335</w:t>
      </w:r>
      <w:r>
        <w:t>，但题干处于初始警报审查阶段，应先收集信息判断警报真实性再决定控制措施，因此B的信息收集动作比A的控制措施更符合当前阶段。</w:t>
      </w:r>
    </w:p>
    <w:p>
      <w:pPr>
        <w:spacing w:before="120" w:after="40"/>
      </w:pPr>
      <w:r>
        <w:rPr>
          <w:b/>
          <w:sz w:val="21"/>
          <w:shd w:fill="D6E4F0" w:val="clear"/>
        </w:rPr>
        <w:t>C项错误</w:t>
      </w:r>
    </w:p>
    <w:p>
      <w:pPr>
        <w:spacing w:line="360" w:lineRule="auto" w:after="40"/>
        <w:ind w:firstLine="420"/>
      </w:pPr>
      <w:r>
        <w:t>线下测试属于系统调优与验证领域</w:t>
      </w:r>
      <w:r>
        <w:rPr>
          <w:sz w:val="15"/>
          <w:vertAlign w:val="superscript"/>
        </w:rPr>
        <w:t>P446</w:t>
      </w:r>
      <w:r>
        <w:t>，旨在评估阈值和场景有效性，而非针对单笔警报的信息收集与判断，与题干所述警报审查活动不匹配。</w:t>
      </w:r>
    </w:p>
    <w:p>
      <w:pPr>
        <w:spacing w:before="120" w:after="40"/>
      </w:pPr>
      <w:r>
        <w:rPr>
          <w:b/>
          <w:sz w:val="21"/>
          <w:shd w:fill="D6E4F0" w:val="clear"/>
        </w:rPr>
        <w:t>D项错误</w:t>
      </w:r>
    </w:p>
    <w:p>
      <w:pPr>
        <w:spacing w:line="360" w:lineRule="auto" w:after="40"/>
        <w:ind w:firstLine="420"/>
      </w:pPr>
      <w:r>
        <w:t>向对手银行发送RFI是获取外部信息的正式流程</w:t>
      </w:r>
      <w:r>
        <w:rPr>
          <w:sz w:val="15"/>
          <w:vertAlign w:val="superscript"/>
        </w:rPr>
        <w:t>P338</w:t>
      </w:r>
      <w:r>
        <w:t>，但在警报审查初期，内部关系经理是更直接、优先的信息渠道</w:t>
      </w:r>
      <w:r>
        <w:rPr>
          <w:sz w:val="15"/>
          <w:vertAlign w:val="superscript"/>
        </w:rPr>
        <w:t>P339</w:t>
      </w:r>
      <w:r>
        <w:t>，且关系经理可联系客户或合作机构，更能满足“进一步收集信息”这一需求，因此D不如B直接匹配。</w:t>
      </w:r>
    </w:p>
    <w:p>
      <w:pPr>
        <w:spacing w:before="120" w:after="40"/>
      </w:pPr>
      <w:r>
        <w:rPr>
          <w:b/>
          <w:sz w:val="21"/>
          <w:shd w:fill="D6E4F0" w:val="clear"/>
        </w:rPr>
        <w:t>易错提醒</w:t>
      </w:r>
    </w:p>
    <w:p>
      <w:pPr>
        <w:spacing w:line="360" w:lineRule="auto" w:after="40"/>
        <w:ind w:firstLine="420"/>
      </w:pPr>
      <w:r>
        <w:t>内部关系经理信息收集与外部RFI的先后顺序：警报审查初期优先通过内部关系经理获取客户信息</w:t>
      </w:r>
      <w:r>
        <w:rPr>
          <w:sz w:val="15"/>
          <w:vertAlign w:val="superscript"/>
        </w:rPr>
        <w:t>P339</w:t>
      </w:r>
      <w:r>
        <w:t>，外部信息请求通常作为补充手段或依据特定程序进行，不可跳过内部渠道直接向外请求。</w:t>
      </w:r>
    </w:p>
    <w:p>
      <w:pPr>
        <w:spacing w:line="360" w:lineRule="auto" w:after="120"/>
      </w:pPr>
      <w:r/>
    </w:p>
    <w:p>
      <w:pPr>
        <w:spacing w:line="360" w:lineRule="auto" w:after="40"/>
      </w:pPr>
      <w:r>
        <w:t>3. 当调查人员开始对潜在的可疑活动进行财务调查时，第一步应该采取什么行动？ ( )</w:t>
      </w:r>
    </w:p>
    <w:p>
      <w:pPr>
        <w:spacing w:line="360" w:lineRule="auto" w:after="20"/>
        <w:ind w:firstLine="283"/>
      </w:pPr>
      <w:r>
        <w:t>A. 确定潜在可疑活动是否与客户的交易行为、业务性质和职业相符</w:t>
      </w:r>
    </w:p>
    <w:p>
      <w:pPr>
        <w:spacing w:line="360" w:lineRule="auto" w:after="20"/>
        <w:ind w:firstLine="283"/>
      </w:pPr>
      <w:r>
        <w:t>B. 联系该国金融情报机构（FIU）的官员，就潜在可疑活动是否确属可疑活动征求建议</w:t>
      </w:r>
    </w:p>
    <w:p>
      <w:pPr>
        <w:spacing w:line="360" w:lineRule="auto" w:after="20"/>
        <w:ind w:firstLine="283"/>
      </w:pPr>
      <w:r>
        <w:t>C. 收集并评估内部信息来源，包括从客户、交易以及交易价值和数量中获取的信息</w:t>
      </w:r>
    </w:p>
    <w:p>
      <w:pPr>
        <w:spacing w:line="360" w:lineRule="auto" w:after="20"/>
        <w:ind w:firstLine="283"/>
      </w:pPr>
      <w:r>
        <w:t>D. 识别并审查外部信息，包括网络形象、与客户相关的实体以及相关媒体</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财务调查启动步骤：先收集并评估内部信息</w:t>
      </w:r>
    </w:p>
    <w:p>
      <w:pPr>
        <w:spacing w:before="120" w:after="40"/>
      </w:pPr>
      <w:r>
        <w:rPr>
          <w:b/>
          <w:sz w:val="21"/>
          <w:shd w:fill="D6E4F0" w:val="clear"/>
        </w:rPr>
        <w:t>核心解析</w:t>
      </w:r>
    </w:p>
    <w:p>
      <w:pPr>
        <w:spacing w:line="360" w:lineRule="auto" w:after="40"/>
        <w:ind w:firstLine="420"/>
      </w:pPr>
      <w:r>
        <w:t>调查的第一步行动应从机构内部可立即获取的信息入手。教材将内部信息定义为“机构维护并可被审查员访问的数据”</w:t>
      </w:r>
      <w:r>
        <w:rPr>
          <w:sz w:val="15"/>
          <w:vertAlign w:val="superscript"/>
        </w:rPr>
        <w:t>P337</w:t>
      </w:r>
      <w:r>
        <w:t>，并列举了KYC数据、交易数据、警报与调查历史、账户活动等关键数据点</w:t>
      </w:r>
      <w:r>
        <w:rPr>
          <w:sz w:val="15"/>
          <w:vertAlign w:val="superscript"/>
        </w:rPr>
        <w:t>P337</w:t>
      </w:r>
      <w:r>
        <w:t>。在调查初期，调查员需要先收集并评估这些内部信息，以理解可疑活动的性质和背景，为后续分析或外部信息查证打下基础</w:t>
      </w:r>
      <w:r>
        <w:rPr>
          <w:sz w:val="15"/>
          <w:vertAlign w:val="superscript"/>
        </w:rPr>
        <w:t>P337</w:t>
      </w:r>
      <w:r>
        <w:t>。题干问开始财务调查时“第一步”行动，选项C“收集并评估内部信息来源，包括从客户、交易以及交易价值和数量中获取的信息”直接对应这一初始收集动作，因此在教材框架下最贴合“第一步”的要求。</w:t>
      </w:r>
    </w:p>
    <w:p>
      <w:pPr>
        <w:spacing w:before="120" w:after="40"/>
      </w:pPr>
      <w:r>
        <w:rPr>
          <w:b/>
          <w:sz w:val="21"/>
          <w:shd w:fill="D6E4F0" w:val="clear"/>
        </w:rPr>
        <w:t>A项错误</w:t>
      </w:r>
    </w:p>
    <w:p>
      <w:pPr>
        <w:spacing w:line="360" w:lineRule="auto" w:after="40"/>
        <w:ind w:firstLine="420"/>
      </w:pPr>
      <w:r>
        <w:t>确定活动是否与客户行为相符，是在收集了交易、资料等内部信息后所做的分析判断，更接近调查中的评估环节而非第一步的收集行动。教材在描述一级审查时指出分析旨在确定活动是否符合预期行为模式</w:t>
      </w:r>
      <w:r>
        <w:rPr>
          <w:sz w:val="15"/>
          <w:vertAlign w:val="superscript"/>
        </w:rPr>
        <w:t>P334</w:t>
      </w:r>
      <w:r>
        <w:t>，说明这一判断以现有数据为基础，题干更支持先收集再分析的顺序。</w:t>
      </w:r>
    </w:p>
    <w:p>
      <w:pPr>
        <w:spacing w:before="120" w:after="40"/>
      </w:pPr>
      <w:r>
        <w:rPr>
          <w:b/>
          <w:sz w:val="21"/>
          <w:shd w:fill="D6E4F0" w:val="clear"/>
        </w:rPr>
        <w:t>B项错误</w:t>
      </w:r>
    </w:p>
    <w:p>
      <w:pPr>
        <w:spacing w:line="360" w:lineRule="auto" w:after="40"/>
        <w:ind w:firstLine="420"/>
      </w:pPr>
      <w:r>
        <w:t>联系FIU通常是调查确认可疑后履行报告义务的环节（P148-P149），发生在调查结论形成之后。作为调查第一步去征求外部意见，不如直接从内部信息着手直接，且FIU并不代替调查员进行初步判断。</w:t>
      </w:r>
    </w:p>
    <w:p>
      <w:pPr>
        <w:spacing w:before="120" w:after="40"/>
      </w:pPr>
      <w:r>
        <w:rPr>
          <w:b/>
          <w:sz w:val="21"/>
          <w:shd w:fill="D6E4F0" w:val="clear"/>
        </w:rPr>
        <w:t>D项错误</w:t>
      </w:r>
    </w:p>
    <w:p>
      <w:pPr>
        <w:spacing w:line="360" w:lineRule="auto" w:after="40"/>
        <w:ind w:firstLine="420"/>
      </w:pPr>
      <w:r>
        <w:t>识别外部信息（如网络形象、相关媒体）确实可能成为调查的一部分，但通常是在内部信息收集和分析之后，用以补充和验证。教材提到内外部信息都要使用</w:t>
      </w:r>
      <w:r>
        <w:rPr>
          <w:sz w:val="15"/>
          <w:vertAlign w:val="superscript"/>
        </w:rPr>
        <w:t>P337</w:t>
      </w:r>
      <w:r>
        <w:t>，但未把外部信息列为第一步；相比之下，内部信息是机构自身维护的、立即可得的数据，更符合调查启动时的直接需求。</w:t>
      </w:r>
    </w:p>
    <w:p>
      <w:pPr>
        <w:spacing w:before="120" w:after="40"/>
      </w:pPr>
      <w:r>
        <w:rPr>
          <w:b/>
          <w:sz w:val="21"/>
          <w:shd w:fill="D6E4F0" w:val="clear"/>
        </w:rPr>
        <w:t>易错提醒</w:t>
      </w:r>
    </w:p>
    <w:p>
      <w:pPr>
        <w:spacing w:line="360" w:lineRule="auto" w:after="40"/>
        <w:ind w:firstLine="420"/>
      </w:pPr>
      <w:r>
        <w:t>容易将“收集信息”与“基于信息的分析判断”混淆。题干问第一步“行动”，应选择具体的收集操作（如选项C），而非收集后得出的结论（如选项A）。此外，内部信息是调查的起点，因为它是机构自身拥有的数据，可立即获取；外部信息一般作为后续补充，不是初始第一步。</w:t>
      </w:r>
    </w:p>
    <w:p>
      <w:pPr>
        <w:spacing w:line="360" w:lineRule="auto" w:after="120"/>
      </w:pPr>
      <w:r/>
    </w:p>
    <w:p>
      <w:pPr>
        <w:spacing w:line="360" w:lineRule="auto" w:after="40"/>
      </w:pPr>
      <w:r>
        <w:t>4. 金融机构(FIs)在对法人客户进行客户尽职调查(CDD)措施时,必须采用基于风险的方法,具体为: ( )</w:t>
      </w:r>
    </w:p>
    <w:p>
      <w:pPr>
        <w:spacing w:line="360" w:lineRule="auto" w:after="20"/>
        <w:ind w:firstLine="283"/>
      </w:pPr>
      <w:r>
        <w:t>A. 了解并获取有关业务关系可能面临的竞争的信息</w:t>
      </w:r>
    </w:p>
    <w:p>
      <w:pPr>
        <w:spacing w:line="360" w:lineRule="auto" w:after="20"/>
        <w:ind w:firstLine="283"/>
      </w:pPr>
      <w:r>
        <w:t>B. 利用互联网和社交媒体上的数据及信息识别客户身份</w:t>
      </w:r>
    </w:p>
    <w:p>
      <w:pPr>
        <w:spacing w:line="360" w:lineRule="auto" w:after="20"/>
        <w:ind w:firstLine="283"/>
      </w:pPr>
      <w:r>
        <w:t>C. 采取合理措施核实受益所有人的身份</w:t>
      </w:r>
    </w:p>
    <w:p>
      <w:pPr>
        <w:spacing w:line="360" w:lineRule="auto" w:after="20"/>
        <w:ind w:firstLine="283"/>
      </w:pPr>
      <w:r>
        <w:t>D. 持续分析业务关系的盈利能力</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风险为本的 CDD 中对法人客户的核心要求——受益所有人身份核实</w:t>
      </w:r>
    </w:p>
    <w:p>
      <w:pPr>
        <w:spacing w:before="120" w:after="40"/>
      </w:pPr>
      <w:r>
        <w:rPr>
          <w:b/>
          <w:sz w:val="21"/>
          <w:shd w:fill="D6E4F0" w:val="clear"/>
        </w:rPr>
        <w:t>核心解析</w:t>
      </w:r>
    </w:p>
    <w:p>
      <w:pPr>
        <w:spacing w:line="360" w:lineRule="auto" w:after="40"/>
        <w:ind w:firstLine="420"/>
      </w:pPr>
      <w:r>
        <w:t>根据 FATF 的要求，金融机构必须采用风险为本的方法，采取合理措施核实受益所有人的身份；对于法人和法律安排，还应包括了解客户的股权和控制权结构</w:t>
      </w:r>
      <w:r>
        <w:rPr>
          <w:sz w:val="15"/>
          <w:vertAlign w:val="superscript"/>
        </w:rPr>
        <w:t>P339</w:t>
      </w:r>
      <w:r>
        <w:t>。题干直接考察对法人客户进行风险为本的客户尽职调查的核心措施：机构按风险高低决定核查深度，但穿透法人外壳、识别并核实真正拥有或控制该法人的自然人，是不可或缺的步骤。选项 C“采取合理措施核实受益所有人的身份”直接匹配了 FATF 对法人客户尽职调查的这一规定性要求，在四个选项中与题干条件及教材定义最为吻合。</w:t>
      </w:r>
    </w:p>
    <w:p>
      <w:pPr>
        <w:spacing w:before="120" w:after="40"/>
      </w:pPr>
      <w:r>
        <w:rPr>
          <w:b/>
          <w:sz w:val="21"/>
          <w:shd w:fill="D6E4F0" w:val="clear"/>
        </w:rPr>
        <w:t>A项错误</w:t>
      </w:r>
    </w:p>
    <w:p>
      <w:pPr>
        <w:spacing w:line="360" w:lineRule="auto" w:after="40"/>
        <w:ind w:firstLine="420"/>
      </w:pPr>
      <w:r>
        <w:t>教材对 CDD 的要求是了解业务关系的预期目的和性质</w:t>
      </w:r>
      <w:r>
        <w:rPr>
          <w:sz w:val="15"/>
          <w:vertAlign w:val="superscript"/>
        </w:rPr>
        <w:t>P305</w:t>
      </w:r>
      <w:r>
        <w:t>，关注点在于客户为何建立该关系，而非了解该业务在市场上可能面临的竞争。竞争对手信息属于商业情报范畴，与反洗钱尽职调查中识别洗钱风险的逻辑关联很弱，题干条件远更直接地支持核实受益所有人这一核心目的。</w:t>
      </w:r>
    </w:p>
    <w:p>
      <w:pPr>
        <w:spacing w:before="120" w:after="40"/>
      </w:pPr>
      <w:r>
        <w:rPr>
          <w:b/>
          <w:sz w:val="21"/>
          <w:shd w:fill="D6E4F0" w:val="clear"/>
        </w:rPr>
        <w:t>B项错误</w:t>
      </w:r>
    </w:p>
    <w:p>
      <w:pPr>
        <w:spacing w:line="360" w:lineRule="auto" w:after="40"/>
        <w:ind w:firstLine="420"/>
      </w:pPr>
      <w:r>
        <w:t>教材中身份识别是收集客户信息，验证是通过政府文件、生物识别等技术对信息加以认证</w:t>
      </w:r>
      <w:r>
        <w:rPr>
          <w:sz w:val="15"/>
          <w:vertAlign w:val="superscript"/>
        </w:rPr>
        <w:t>P305</w:t>
      </w:r>
      <w:r>
        <w:t>。互联网和社交媒体数据可作为辅助信息来源，但仅凭这些公开数据本身并不能完成风险为本框架下的“识别”或“验证”要求。教材对人脸识别等技术的描述</w:t>
      </w:r>
      <w:r>
        <w:rPr>
          <w:sz w:val="15"/>
          <w:vertAlign w:val="superscript"/>
        </w:rPr>
        <w:t>P413</w:t>
      </w:r>
      <w:r>
        <w:t>强调将其与提交的身份文件进行比对来验证身份，而非单纯从互联网获取数据即算作识别。题干问的是风险为本方法的具体措施，核实受益所有人身份比以互联网数据识别身份更直接命中教材对法人客户尽调的强制性规定。</w:t>
      </w:r>
    </w:p>
    <w:p>
      <w:pPr>
        <w:spacing w:before="120" w:after="40"/>
      </w:pPr>
      <w:r>
        <w:rPr>
          <w:b/>
          <w:sz w:val="21"/>
          <w:shd w:fill="D6E4F0" w:val="clear"/>
        </w:rPr>
        <w:t>D项错误</w:t>
      </w:r>
    </w:p>
    <w:p>
      <w:pPr>
        <w:spacing w:line="360" w:lineRule="auto" w:after="40"/>
        <w:ind w:firstLine="420"/>
      </w:pPr>
      <w:r>
        <w:t>CDD 与持续监控的着眼点是洗钱和恐怖融资风险，而非客户的商业盈利水平。教材在涉及业务关系目的时使用的是“积累财富”这类示例</w:t>
      </w:r>
      <w:r>
        <w:rPr>
          <w:sz w:val="15"/>
          <w:vertAlign w:val="superscript"/>
        </w:rPr>
        <w:t>P355</w:t>
      </w:r>
      <w:r>
        <w:t>，但这是在描述客户自身的动机，从未将“分析盈利能力”列为金融机构在风险为本尽职调查中必须做的事。题干未提供任何要素要求金融机构评估客户的利润贡献，因此该选项缺乏与 CDD 规定的直接匹配度。</w:t>
      </w:r>
    </w:p>
    <w:p>
      <w:pPr>
        <w:spacing w:before="120" w:after="40"/>
      </w:pPr>
      <w:r>
        <w:rPr>
          <w:b/>
          <w:sz w:val="21"/>
          <w:shd w:fill="D6E4F0" w:val="clear"/>
        </w:rPr>
        <w:t>易错提醒</w:t>
      </w:r>
    </w:p>
    <w:p>
      <w:pPr>
        <w:spacing w:line="360" w:lineRule="auto" w:after="40"/>
        <w:ind w:firstLine="420"/>
      </w:pPr>
      <w:r>
        <w:t>区分“身份识别”与“身份验证”：识别是收集姓名、地址、公司注册数据等信息，验证是用政府文件、生物识别等手段确认所收集信息的真实性</w:t>
      </w:r>
      <w:r>
        <w:rPr>
          <w:sz w:val="15"/>
          <w:vertAlign w:val="superscript"/>
        </w:rPr>
        <w:t>P305</w:t>
      </w:r>
      <w:r>
        <w:t>。互联网公开数据可辅助识别客户背景，但不能替代对受益所有人的独立验证。在法人客户场景下，即使机构通过互联网确认了公司表面信息，依然必须穿透公司结构核实背后的自然人受益所有人</w:t>
      </w:r>
      <w:r>
        <w:rPr>
          <w:sz w:val="15"/>
          <w:vertAlign w:val="superscript"/>
        </w:rPr>
        <w:t>P339</w:t>
      </w:r>
      <w:r>
        <w:t>。</w:t>
      </w:r>
    </w:p>
    <w:p>
      <w:pPr>
        <w:spacing w:line="360" w:lineRule="auto" w:after="120"/>
      </w:pPr>
      <w:r/>
    </w:p>
    <w:p>
      <w:pPr>
        <w:spacing w:line="360" w:lineRule="auto" w:after="40"/>
      </w:pPr>
      <w:r>
        <w:t>5. 在私人银行内部,哪个职位最能发现并报告洗钱风险？ ( )</w:t>
      </w:r>
    </w:p>
    <w:p>
      <w:pPr>
        <w:spacing w:line="360" w:lineRule="auto" w:after="20"/>
        <w:ind w:firstLine="283"/>
      </w:pPr>
      <w:r>
        <w:t>A. 投资顾问</w:t>
      </w:r>
    </w:p>
    <w:p>
      <w:pPr>
        <w:spacing w:line="360" w:lineRule="auto" w:after="20"/>
        <w:ind w:firstLine="283"/>
      </w:pPr>
      <w:r>
        <w:t>B. 客户经理</w:t>
      </w:r>
    </w:p>
    <w:p>
      <w:pPr>
        <w:spacing w:line="360" w:lineRule="auto" w:after="20"/>
        <w:ind w:firstLine="283"/>
      </w:pPr>
      <w:r>
        <w:t>C. 运营经理</w:t>
      </w:r>
    </w:p>
    <w:p>
      <w:pPr>
        <w:spacing w:line="360" w:lineRule="auto" w:after="20"/>
        <w:ind w:firstLine="283"/>
      </w:pPr>
      <w:r>
        <w:t>D. 合规官</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界定私人银行中一线客户接触岗位在识别洗钱风险上的独特优势</w:t>
      </w:r>
    </w:p>
    <w:p>
      <w:pPr>
        <w:spacing w:before="120" w:after="40"/>
      </w:pPr>
      <w:r>
        <w:rPr>
          <w:b/>
          <w:sz w:val="21"/>
          <w:shd w:fill="D6E4F0" w:val="clear"/>
        </w:rPr>
        <w:t>核心解析</w:t>
      </w:r>
    </w:p>
    <w:p>
      <w:pPr>
        <w:spacing w:line="360" w:lineRule="auto" w:after="40"/>
        <w:ind w:firstLine="420"/>
      </w:pPr>
      <w:r>
        <w:t>教材指出，在交易监控和反洗钱调查中，分析师可能需要内部数据或公开来源无法获取的信息</w:t>
      </w:r>
      <w:r>
        <w:rPr>
          <w:sz w:val="15"/>
          <w:vertAlign w:val="superscript"/>
        </w:rPr>
        <w:t>P339</w:t>
      </w:r>
      <w:r>
        <w:t>。此时，客户经理等一线员工可通过联系客户、合作机构或代理行获取这些信息，他们处于开展客户联系并将调查结果反馈给分析师的最佳位置</w:t>
      </w:r>
      <w:r>
        <w:rPr>
          <w:sz w:val="15"/>
          <w:vertAlign w:val="superscript"/>
        </w:rPr>
        <w:t>P339</w:t>
      </w:r>
      <w:r>
        <w:t>。此外，在需要进行客户尽职调查或调查面谈时，通常由客户经理这类面向客户的员工执行，因为他们与客户已有既定关系</w:t>
      </w:r>
      <w:r>
        <w:rPr>
          <w:sz w:val="15"/>
          <w:vertAlign w:val="superscript"/>
        </w:rPr>
        <w:t>P340</w:t>
      </w:r>
      <w:r>
        <w:t>。本题询问私人银行内部哪个职位最能发现并报告洗钱风险，客户经理直接面对客户、负责客户关系维护和信息收集，因此最符合教材所描述的“最佳位置”角色，是正确答案。</w:t>
      </w:r>
    </w:p>
    <w:p>
      <w:pPr>
        <w:spacing w:before="120" w:after="40"/>
      </w:pPr>
      <w:r>
        <w:rPr>
          <w:b/>
          <w:sz w:val="21"/>
          <w:shd w:fill="D6E4F0" w:val="clear"/>
        </w:rPr>
        <w:t>A项错误</w:t>
      </w:r>
    </w:p>
    <w:p>
      <w:pPr>
        <w:spacing w:line="360" w:lineRule="auto" w:after="40"/>
        <w:ind w:firstLine="420"/>
      </w:pPr>
      <w:r>
        <w:t>投资顾问在教材中被归为与零售投资者互动的证券服务商，侧重资本市场研究、投资组合管理</w:t>
      </w:r>
      <w:r>
        <w:rPr>
          <w:sz w:val="15"/>
          <w:vertAlign w:val="superscript"/>
        </w:rPr>
        <w:t>P103</w:t>
      </w:r>
      <w:r>
        <w:t>，并未突出其在反洗钱调查中主动联系客户获取额外信息的功能，因此其发现洗钱风险的角色不如客户经理直接。</w:t>
      </w:r>
    </w:p>
    <w:p>
      <w:pPr>
        <w:spacing w:before="120" w:after="40"/>
      </w:pPr>
      <w:r>
        <w:rPr>
          <w:b/>
          <w:sz w:val="21"/>
          <w:shd w:fill="D6E4F0" w:val="clear"/>
        </w:rPr>
        <w:t>C项错误</w:t>
      </w:r>
    </w:p>
    <w:p>
      <w:pPr>
        <w:spacing w:line="360" w:lineRule="auto" w:after="40"/>
        <w:ind w:firstLine="420"/>
      </w:pPr>
      <w:r>
        <w:t>运营经理的职责主要是执行和后台支持，如提供产品使用模式洞察</w:t>
      </w:r>
      <w:r>
        <w:rPr>
          <w:sz w:val="15"/>
          <w:vertAlign w:val="superscript"/>
        </w:rPr>
        <w:t>P286</w:t>
      </w:r>
      <w:r>
        <w:t>和执行内部可疑交易检测程序</w:t>
      </w:r>
      <w:r>
        <w:rPr>
          <w:sz w:val="15"/>
          <w:vertAlign w:val="superscript"/>
        </w:rPr>
        <w:t>P247</w:t>
      </w:r>
      <w:r>
        <w:t>，不承担直接与客户沟通获取调查信息的职能，因此在“发现并报告”风险的客户触达环节上不如客户经理贴近。</w:t>
      </w:r>
    </w:p>
    <w:p>
      <w:pPr>
        <w:spacing w:before="120" w:after="40"/>
      </w:pPr>
      <w:r>
        <w:rPr>
          <w:b/>
          <w:sz w:val="21"/>
          <w:shd w:fill="D6E4F0" w:val="clear"/>
        </w:rPr>
        <w:t>D项错误</w:t>
      </w:r>
    </w:p>
    <w:p>
      <w:pPr>
        <w:spacing w:line="360" w:lineRule="auto" w:after="40"/>
        <w:ind w:firstLine="420"/>
      </w:pPr>
      <w:r>
        <w:t>合规官负责监督反洗钱合规计划、确保合规性</w:t>
      </w:r>
      <w:r>
        <w:rPr>
          <w:sz w:val="15"/>
          <w:vertAlign w:val="superscript"/>
        </w:rPr>
        <w:t>P255</w:t>
      </w:r>
      <w:r>
        <w:t>，并需了解合规系统的数据质量容忍度</w:t>
      </w:r>
      <w:r>
        <w:rPr>
          <w:sz w:val="15"/>
          <w:vertAlign w:val="superscript"/>
        </w:rPr>
        <w:t>P463</w:t>
      </w:r>
      <w:r>
        <w:t>，属于第二道防线的监控和管控角色，而非直接接触客户获取一手信息的一线岗位，故在识别具体客户洗钱风险的直接性上弱于客户经理。</w:t>
      </w:r>
    </w:p>
    <w:p>
      <w:pPr>
        <w:spacing w:before="120" w:after="40"/>
      </w:pPr>
      <w:r>
        <w:rPr>
          <w:b/>
          <w:sz w:val="21"/>
          <w:shd w:fill="D6E4F0" w:val="clear"/>
        </w:rPr>
        <w:t>易错提醒</w:t>
      </w:r>
    </w:p>
    <w:p>
      <w:pPr>
        <w:spacing w:line="360" w:lineRule="auto" w:after="40"/>
        <w:ind w:firstLine="420"/>
      </w:pPr>
      <w:r>
        <w:t>客户经理（一线）与合规官（二线）的职责易混淆：客户经理通过已有客户关系直接收集信息并反馈给分析师</w:t>
      </w:r>
      <w:r>
        <w:rPr>
          <w:sz w:val="15"/>
          <w:vertAlign w:val="superscript"/>
        </w:rPr>
        <w:t>P340</w:t>
      </w:r>
      <w:r>
        <w:t>，是发现异常交易的第一触点；合规官则监督整体合规计划、评估系统有效性</w:t>
      </w:r>
      <w:r>
        <w:rPr>
          <w:sz w:val="15"/>
          <w:vertAlign w:val="superscript"/>
        </w:rPr>
        <w:t>P255</w:t>
      </w:r>
      <w:r>
        <w:t>，通常不直接执行客户沟通。本题强调“最能发现并报告”的岗位，更吻合一线客户接触角色的定位。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