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w:t>
      </w:r>
    </w:p>
    <w:p>
      <w:pPr>
        <w:spacing w:line="360" w:lineRule="auto" w:after="160"/>
      </w:pPr>
      <w:r>
        <w:t>一、单项选择题</w:t>
      </w:r>
    </w:p>
    <w:p>
      <w:pPr>
        <w:spacing w:line="360" w:lineRule="auto" w:after="40"/>
      </w:pPr>
      <w:r>
        <w:t>1. 在准备可疑活动报告(SAR)时，哪些内容应提供给董事会或指定的专业委员会？ ( )</w:t>
      </w:r>
    </w:p>
    <w:p>
      <w:pPr>
        <w:spacing w:line="360" w:lineRule="auto" w:after="20"/>
        <w:ind w:firstLine="283"/>
      </w:pPr>
      <w:r>
        <w:t>A. 报告期内提交的可疑活动报告(SAR)的统计数据</w:t>
      </w:r>
    </w:p>
    <w:p>
      <w:pPr>
        <w:spacing w:line="360" w:lineRule="auto" w:after="20"/>
        <w:ind w:firstLine="283"/>
      </w:pPr>
      <w:r>
        <w:t>B. 报告期内提交的所有可疑交易报告的详细信息</w:t>
      </w:r>
    </w:p>
    <w:p>
      <w:pPr>
        <w:spacing w:line="360" w:lineRule="auto" w:after="20"/>
        <w:ind w:firstLine="283"/>
      </w:pPr>
      <w:r>
        <w:t>C. 报告期内提交的所有可疑交易报告副本</w:t>
      </w:r>
    </w:p>
    <w:p>
      <w:pPr>
        <w:spacing w:line="360" w:lineRule="auto" w:after="20"/>
        <w:ind w:firstLine="283"/>
      </w:pPr>
      <w:r>
        <w:t>D. 报告期内所有被提交可疑活动报告(SAR)的客户姓名</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金融机构内部对SAR信息的保密要求与访问限制</w:t>
      </w:r>
    </w:p>
    <w:p>
      <w:pPr>
        <w:spacing w:before="120" w:after="40"/>
      </w:pPr>
      <w:r>
        <w:rPr>
          <w:b/>
          <w:sz w:val="21"/>
          <w:shd w:fill="D6E4F0" w:val="clear"/>
        </w:rPr>
        <w:t>核心解析</w:t>
      </w:r>
    </w:p>
    <w:p>
      <w:pPr>
        <w:spacing w:line="360" w:lineRule="auto" w:after="40"/>
        <w:ind w:firstLine="420"/>
      </w:pPr>
      <w:r>
        <w:t>金融机构内部也应谨慎处理SAR，限制访问权限</w:t>
      </w:r>
      <w:r>
        <w:rPr>
          <w:sz w:val="15"/>
          <w:vertAlign w:val="superscript"/>
        </w:rPr>
        <w:t>P352</w:t>
      </w:r>
      <w:r>
        <w:t>。法规禁止金融机构向除特定执法机构外的任何人披露SAR或任何表明已提交SAR的信息</w:t>
      </w:r>
      <w:r>
        <w:rPr>
          <w:sz w:val="15"/>
          <w:vertAlign w:val="superscript"/>
        </w:rPr>
        <w:t>P353</w:t>
      </w:r>
      <w:r>
        <w:t>。这意味着就算在机构内部，也不是所有人都能接触到SAR的完整内容。董事会或专业委员会需要履行监督职责，了解整体合规情况，但又不能获得可能泄露具体案情或客户身份的信息，否则就违反了内部保密和避免“泄密”的原则。选项A提供报告期内的统计数据，既满足了治理层对SAR整体情况的知情需求，又在最大程度上避免了具体SAR信息的扩散，与教材中“内部限制访问”和“禁止披露”的规则最吻合。</w:t>
      </w:r>
    </w:p>
    <w:p>
      <w:pPr>
        <w:spacing w:before="120" w:after="40"/>
      </w:pPr>
      <w:r>
        <w:rPr>
          <w:b/>
          <w:sz w:val="21"/>
          <w:shd w:fill="D6E4F0" w:val="clear"/>
        </w:rPr>
        <w:t>教材原句</w:t>
      </w:r>
    </w:p>
    <w:p>
      <w:pPr>
        <w:spacing w:line="360" w:lineRule="auto" w:after="40"/>
        <w:ind w:firstLine="420"/>
      </w:pPr>
      <w:r>
        <w:t>"Even within a financial institution, SARs should be handled with care, as not everyone should have access to such information."</w:t>
      </w:r>
    </w:p>
    <w:p>
      <w:pPr>
        <w:spacing w:before="120" w:after="40"/>
      </w:pPr>
      <w:r>
        <w:rPr>
          <w:b/>
          <w:sz w:val="21"/>
          <w:shd w:fill="D6E4F0" w:val="clear"/>
        </w:rPr>
        <w:t>B项错误</w:t>
      </w:r>
    </w:p>
    <w:p>
      <w:pPr>
        <w:spacing w:line="360" w:lineRule="auto" w:after="40"/>
        <w:ind w:firstLine="420"/>
      </w:pPr>
      <w:r>
        <w:t>所有详细信息（All possible details）包含大量可能识别出具体客户、交易和怀疑理由的内容。在教材框架下，向董事会提供此类信息，与机构内部需限制SAR访问权限的原则</w:t>
      </w:r>
      <w:r>
        <w:rPr>
          <w:sz w:val="15"/>
          <w:vertAlign w:val="superscript"/>
        </w:rPr>
        <w:t>P352</w:t>
      </w:r>
      <w:r>
        <w:t>匹配度较低。提供统计数据已能满足治理层的监督需求，且更贴合内部保密要求。</w:t>
      </w:r>
    </w:p>
    <w:p>
      <w:pPr>
        <w:spacing w:before="120" w:after="40"/>
      </w:pPr>
      <w:r>
        <w:rPr>
          <w:b/>
          <w:sz w:val="21"/>
          <w:shd w:fill="D6E4F0" w:val="clear"/>
        </w:rPr>
        <w:t>C项错误</w:t>
      </w:r>
    </w:p>
    <w:p>
      <w:pPr>
        <w:spacing w:line="360" w:lineRule="auto" w:after="40"/>
        <w:ind w:firstLine="420"/>
      </w:pPr>
      <w:r>
        <w:t>提供SAR副本（Copies）将使董事会掌握完整的案件叙述、客户身份和支持证据。这远远超出了“限制访问”的内部原则</w:t>
      </w:r>
      <w:r>
        <w:rPr>
          <w:sz w:val="15"/>
          <w:vertAlign w:val="superscript"/>
        </w:rPr>
        <w:t>P352</w:t>
      </w:r>
      <w:r>
        <w:t>，在防范“泄密”风险上不如仅提供汇总统计数据来得审慎。</w:t>
      </w:r>
    </w:p>
    <w:p>
      <w:pPr>
        <w:spacing w:before="120" w:after="40"/>
      </w:pPr>
      <w:r>
        <w:rPr>
          <w:b/>
          <w:sz w:val="21"/>
          <w:shd w:fill="D6E4F0" w:val="clear"/>
        </w:rPr>
        <w:t>D项错误</w:t>
      </w:r>
    </w:p>
    <w:p>
      <w:pPr>
        <w:spacing w:line="360" w:lineRule="auto" w:after="40"/>
        <w:ind w:firstLine="420"/>
      </w:pPr>
      <w:r>
        <w:t>提供被提交SAR的客户姓名（Names）属于具体可识别信息。鉴于法规禁止在极有限范围内外披露任何表明已提交SAR的信息</w:t>
      </w:r>
      <w:r>
        <w:rPr>
          <w:sz w:val="15"/>
          <w:vertAlign w:val="superscript"/>
        </w:rPr>
        <w:t>P353</w:t>
      </w:r>
      <w:r>
        <w:t>，向非操作必需的委员会提供客户清单，相比汇总统计，更易触及保密红线。</w:t>
      </w:r>
    </w:p>
    <w:p>
      <w:pPr>
        <w:spacing w:before="120" w:after="40"/>
      </w:pPr>
      <w:r>
        <w:rPr>
          <w:b/>
          <w:sz w:val="21"/>
          <w:shd w:fill="D6E4F0" w:val="clear"/>
        </w:rPr>
        <w:t>易错提醒</w:t>
      </w:r>
    </w:p>
    <w:p>
      <w:pPr>
        <w:spacing w:line="360" w:lineRule="auto" w:after="40"/>
        <w:ind w:firstLine="420"/>
      </w:pPr>
      <w:r>
        <w:t>混淆“监督需要知情”与“操作需要知悉”的界限。董事会监督是宏观层面，需要汇总数据来评估合规有效性，而非介入具体案件。教材强调SAR信息在机构内部也需限制访问</w:t>
      </w:r>
      <w:r>
        <w:rPr>
          <w:sz w:val="15"/>
          <w:vertAlign w:val="superscript"/>
        </w:rPr>
        <w:t>P352</w:t>
      </w:r>
      <w:r>
        <w:t>，这与公司治理的“知情权”形成平衡：提供统计数据，而不是提供个案信息。</w:t>
      </w:r>
    </w:p>
    <w:p>
      <w:pPr>
        <w:spacing w:line="360" w:lineRule="auto" w:after="120"/>
      </w:pPr>
      <w:r/>
    </w:p>
    <w:p>
      <w:pPr>
        <w:spacing w:line="360" w:lineRule="auto" w:after="40"/>
      </w:pPr>
      <w:r>
        <w:t>2. 台湾一家赌场的合规官发现,一名顾客在连续几天里分三次向赌场存入了略低于大额交易报告限额的现金的恰当步骤是什么？ ( )</w:t>
      </w:r>
    </w:p>
    <w:p>
      <w:pPr>
        <w:spacing w:line="360" w:lineRule="auto" w:after="20"/>
        <w:ind w:firstLine="283"/>
      </w:pPr>
      <w:r>
        <w:t>A. 在客户账户中记录,该客户的赌博活动经常在报告限额以下进行.</w:t>
      </w:r>
    </w:p>
    <w:p>
      <w:pPr>
        <w:spacing w:line="360" w:lineRule="auto" w:after="20"/>
        <w:ind w:firstLine="283"/>
      </w:pPr>
      <w:r>
        <w:t>B. 按照内部报告程序将该活动作为可疑行为上报,并向相关主管部门报告</w:t>
      </w:r>
    </w:p>
    <w:p>
      <w:pPr>
        <w:spacing w:line="360" w:lineRule="auto" w:after="20"/>
        <w:ind w:firstLine="283"/>
      </w:pPr>
      <w:r>
        <w:t>C. 告知客户其活动存在可疑之处,并要求其作出解析:</w:t>
      </w:r>
    </w:p>
    <w:p>
      <w:pPr>
        <w:spacing w:line="360" w:lineRule="auto" w:after="20"/>
        <w:ind w:firstLine="283"/>
      </w:pPr>
      <w:r>
        <w:t>D. 联系执法部门对客户的财务活动展开调查</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可疑活动识别后遵循内部报告程序逐级上报</w:t>
      </w:r>
    </w:p>
    <w:p>
      <w:pPr>
        <w:spacing w:before="120" w:after="40"/>
      </w:pPr>
      <w:r>
        <w:rPr>
          <w:b/>
          <w:sz w:val="21"/>
          <w:shd w:fill="D6E4F0" w:val="clear"/>
        </w:rPr>
        <w:t>核心解析</w:t>
      </w:r>
    </w:p>
    <w:p>
      <w:pPr>
        <w:spacing w:line="360" w:lineRule="auto" w:after="40"/>
        <w:ind w:firstLine="420"/>
      </w:pPr>
      <w:r>
        <w:t>教材要求机构制定政策和程序，使员工能将可疑情况报告给指定合规官</w:t>
      </w:r>
      <w:r>
        <w:rPr>
          <w:sz w:val="15"/>
          <w:vertAlign w:val="superscript"/>
        </w:rPr>
        <w:t>P351</w:t>
      </w:r>
      <w:r>
        <w:t>。合规官负责评估信息并决定采取何种行动</w:t>
      </w:r>
      <w:r>
        <w:rPr>
          <w:sz w:val="15"/>
          <w:vertAlign w:val="superscript"/>
        </w:rPr>
        <w:t>P351</w:t>
      </w:r>
      <w:r>
        <w:t>。若事实表明需对外报告，通常应向相关主管机构提交可疑活动报告（P351‑P352）。题干中赌场合规官发现顾客连续几天以略低于大额交易报告限额的现金存款并使用不同账户，这构成疑似结构化的可疑活动。在这种情况下，恰当的做法是按照内部程序将该活动作为可疑行为上报，并进一步向主管机构提交报告，这正好对应选项B的描述——先通过内部渠道升级，再向主管部门报告，完全符合教材设定的报告流程。</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仅做账户备注落在最低限度的记录层面，未能启动任何报告程序，相比B项所体现的“先内部上报再提交正式可疑报告”的完整流程，其对机构报告义务的履行明显不足。</w:t>
      </w:r>
    </w:p>
    <w:p>
      <w:pPr>
        <w:spacing w:before="120" w:after="40"/>
      </w:pPr>
      <w:r>
        <w:rPr>
          <w:b/>
          <w:sz w:val="21"/>
          <w:shd w:fill="D6E4F0" w:val="clear"/>
        </w:rPr>
        <w:t>C项错误</w:t>
      </w:r>
    </w:p>
    <w:p>
      <w:pPr>
        <w:spacing w:line="360" w:lineRule="auto" w:after="40"/>
        <w:ind w:firstLine="420"/>
      </w:pPr>
      <w:r>
        <w:t>直接告知客户其活动可疑并要求解释，极可能构成 tipping off（通风报信），在教材中被视为需要严格避免的行为</w:t>
      </w:r>
      <w:r>
        <w:rPr>
          <w:sz w:val="15"/>
          <w:vertAlign w:val="superscript"/>
        </w:rPr>
        <w:t>P336</w:t>
      </w:r>
      <w:r>
        <w:t>，且这种与客户的直接沟通并未出现在可疑报告的标准处理流程中，不如B项先完成内部报告再由合规官决定后续行动更符合专业要求。</w:t>
      </w:r>
    </w:p>
    <w:p>
      <w:pPr>
        <w:spacing w:before="120" w:after="40"/>
      </w:pPr>
      <w:r>
        <w:rPr>
          <w:b/>
          <w:sz w:val="21"/>
          <w:shd w:fill="D6E4F0" w:val="clear"/>
        </w:rPr>
        <w:t>D项错误</w:t>
      </w:r>
    </w:p>
    <w:p>
      <w:pPr>
        <w:spacing w:line="360" w:lineRule="auto" w:after="40"/>
        <w:ind w:firstLine="420"/>
      </w:pPr>
      <w:r>
        <w:t>联系执法部门进行财务调查跳过了合规官评估并决定是否对外报告的中间环节，与教材所描述的“先通过内部程序升级，再由合规官判断是否提交SAR”的流程顺序不一致，因此匹配度低于B项。</w:t>
      </w:r>
    </w:p>
    <w:p>
      <w:pPr>
        <w:spacing w:before="120" w:after="40"/>
      </w:pPr>
      <w:r>
        <w:rPr>
          <w:b/>
          <w:sz w:val="21"/>
          <w:shd w:fill="D6E4F0" w:val="clear"/>
        </w:rPr>
        <w:t>易错提醒</w:t>
      </w:r>
    </w:p>
    <w:p>
      <w:pPr>
        <w:spacing w:line="360" w:lineRule="auto" w:after="40"/>
        <w:ind w:firstLine="420"/>
      </w:pPr>
      <w:r>
        <w:t>发现可疑交易的第一步并非直接联系执法部门或通知客户，而是遵循机构内部政策将情况报告给合规官</w:t>
      </w:r>
      <w:r>
        <w:rPr>
          <w:sz w:val="15"/>
          <w:vertAlign w:val="superscript"/>
        </w:rPr>
        <w:t>P351</w:t>
      </w:r>
      <w:r>
        <w:t>；合规官评估后若认为需要，再向主管机构提交可疑活动报告（P351‑P352）。直接联系客户容易导致 tipping off，可能面临刑事后果</w:t>
      </w:r>
      <w:r>
        <w:rPr>
          <w:sz w:val="15"/>
          <w:vertAlign w:val="superscript"/>
        </w:rPr>
        <w:t>P336</w:t>
      </w:r>
      <w:r>
        <w:t>。</w:t>
      </w:r>
    </w:p>
    <w:p>
      <w:pPr>
        <w:spacing w:line="360" w:lineRule="auto" w:after="120"/>
      </w:pPr>
      <w:r/>
    </w:p>
    <w:p>
      <w:pPr>
        <w:spacing w:line="360" w:lineRule="auto" w:after="40"/>
      </w:pPr>
      <w:r>
        <w:t>3. 一家银行收到了一份针对其某位客户的传票.该银行的金融情报部门应当审查这份传票,并: ( )</w:t>
      </w:r>
    </w:p>
    <w:p>
      <w:pPr>
        <w:spacing w:line="360" w:lineRule="auto" w:after="20"/>
        <w:ind w:firstLine="283"/>
      </w:pPr>
      <w:r>
        <w:t>A. 通过告知客户传票一事来关闭客户的账户.</w:t>
      </w:r>
    </w:p>
    <w:p>
      <w:pPr>
        <w:spacing w:line="360" w:lineRule="auto" w:after="20"/>
        <w:ind w:firstLine="283"/>
      </w:pPr>
      <w:r>
        <w:t>B. 进行交易审查并全面回应传票.</w:t>
      </w:r>
    </w:p>
    <w:p>
      <w:pPr>
        <w:spacing w:line="360" w:lineRule="auto" w:after="20"/>
        <w:ind w:firstLine="283"/>
      </w:pPr>
      <w:r>
        <w:t>C. 提交可疑活动报告(SAR),并在报告叙述中包含收到传票的情况.</w:t>
      </w:r>
    </w:p>
    <w:p>
      <w:pPr>
        <w:spacing w:line="360" w:lineRule="auto" w:after="20"/>
        <w:ind w:firstLine="283"/>
      </w:pPr>
      <w:r>
        <w:t>D. 调整客户的风险评分并结案</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传票触发客户审查但不自动导致提交可疑活动报告</w:t>
      </w:r>
    </w:p>
    <w:p>
      <w:pPr>
        <w:spacing w:before="120" w:after="40"/>
      </w:pPr>
      <w:r>
        <w:rPr>
          <w:b/>
          <w:sz w:val="21"/>
          <w:shd w:fill="D6E4F0" w:val="clear"/>
        </w:rPr>
        <w:t>核心解析</w:t>
      </w:r>
    </w:p>
    <w:p>
      <w:pPr>
        <w:spacing w:line="360" w:lineRule="auto" w:after="40"/>
        <w:ind w:firstLine="420"/>
      </w:pPr>
      <w:r>
        <w:t>教材指出，金融机构日常会收到传票等法律令状，这类信息请求通常会触发客户审查，但不会自动导致提交可疑活动报告，因为可能缺乏足够证据支持</w:t>
      </w:r>
      <w:r>
        <w:rPr>
          <w:sz w:val="15"/>
          <w:vertAlign w:val="superscript"/>
        </w:rPr>
        <w:t>P357</w:t>
      </w:r>
      <w:r>
        <w:t>。同时，金融机构有义务回应执法机构关于交易和账户所有权的信息请求，并须保证高度保密性、紧迫性和准确性</w:t>
      </w:r>
      <w:r>
        <w:rPr>
          <w:sz w:val="15"/>
          <w:vertAlign w:val="superscript"/>
        </w:rPr>
        <w:t>P362</w:t>
      </w:r>
      <w:r>
        <w:t>。本题中银行收到针对某客户的传票，金融情报部门应首先进行交易审查并全面回应传票，这一做法直接吻合教材对执法请求响应流程的要求，因此B正确。</w:t>
      </w:r>
    </w:p>
    <w:p>
      <w:pPr>
        <w:spacing w:before="120" w:after="40"/>
      </w:pPr>
      <w:r>
        <w:rPr>
          <w:b/>
          <w:sz w:val="21"/>
          <w:shd w:fill="D6E4F0" w:val="clear"/>
        </w:rPr>
        <w:t>A项错误</w:t>
      </w:r>
    </w:p>
    <w:p>
      <w:pPr>
        <w:spacing w:line="360" w:lineRule="auto" w:after="40"/>
        <w:ind w:firstLine="420"/>
      </w:pPr>
      <w:r>
        <w:t>告知客户传票并关闭账户，违反了执法请求对高度保密性的要求</w:t>
      </w:r>
      <w:r>
        <w:rPr>
          <w:sz w:val="15"/>
          <w:vertAlign w:val="superscript"/>
        </w:rPr>
        <w:t>P362</w:t>
      </w:r>
      <w:r>
        <w:t>，且执法机构可能要求保持账户开放以协助调查</w:t>
      </w:r>
      <w:r>
        <w:rPr>
          <w:sz w:val="15"/>
          <w:vertAlign w:val="superscript"/>
        </w:rPr>
        <w:t>P362</w:t>
      </w:r>
      <w:r>
        <w:t>。相比之下，B的做法更匹配教材规定的响应流程。</w:t>
      </w:r>
    </w:p>
    <w:p>
      <w:pPr>
        <w:spacing w:before="120" w:after="40"/>
      </w:pPr>
      <w:r>
        <w:rPr>
          <w:b/>
          <w:sz w:val="21"/>
          <w:shd w:fill="D6E4F0" w:val="clear"/>
        </w:rPr>
        <w:t>C项错误</w:t>
      </w:r>
    </w:p>
    <w:p>
      <w:pPr>
        <w:spacing w:line="360" w:lineRule="auto" w:after="40"/>
        <w:ind w:firstLine="420"/>
      </w:pPr>
      <w:r>
        <w:t>收到传票会触发客户审查，但教材明确不自动导致提交可疑活动报告</w:t>
      </w:r>
      <w:r>
        <w:rPr>
          <w:sz w:val="15"/>
          <w:vertAlign w:val="superscript"/>
        </w:rPr>
        <w:t>P357</w:t>
      </w:r>
      <w:r>
        <w:t>。直接提交SAR不如B先进行交易审查并回应传票，更吻合教材对执法请求的应对逻辑。</w:t>
      </w:r>
    </w:p>
    <w:p>
      <w:pPr>
        <w:spacing w:before="120" w:after="40"/>
      </w:pPr>
      <w:r>
        <w:rPr>
          <w:b/>
          <w:sz w:val="21"/>
          <w:shd w:fill="D6E4F0" w:val="clear"/>
        </w:rPr>
        <w:t>D项错误</w:t>
      </w:r>
    </w:p>
    <w:p>
      <w:pPr>
        <w:spacing w:line="360" w:lineRule="auto" w:after="40"/>
        <w:ind w:firstLine="420"/>
      </w:pPr>
      <w:r>
        <w:t>调整风险评分并结案跳过了回应传票的法律义务</w:t>
      </w:r>
      <w:r>
        <w:rPr>
          <w:sz w:val="15"/>
          <w:vertAlign w:val="superscript"/>
        </w:rPr>
        <w:t>P362</w:t>
      </w:r>
      <w:r>
        <w:t>，且风险评分的调整通常发生在调查结束后</w:t>
      </w:r>
      <w:r>
        <w:rPr>
          <w:sz w:val="15"/>
          <w:vertAlign w:val="superscript"/>
        </w:rPr>
        <w:t>P469</w:t>
      </w:r>
      <w:r>
        <w:t>。因此不如B能直接满足收到传票时的首要应对要求。</w:t>
      </w:r>
    </w:p>
    <w:p>
      <w:pPr>
        <w:spacing w:line="360" w:lineRule="auto" w:after="120"/>
      </w:pPr>
      <w:r/>
    </w:p>
    <w:p>
      <w:pPr>
        <w:spacing w:line="360" w:lineRule="auto" w:after="40"/>
      </w:pPr>
      <w:r>
        <w:t>4. 金融情报机构(FIU)作为国家中心,负责接收和分析可疑活动报告(SAR),并可从其他报告实体获取与以下方面相关的更多信息: ( )</w:t>
      </w:r>
    </w:p>
    <w:p>
      <w:pPr>
        <w:spacing w:line="360" w:lineRule="auto" w:after="20"/>
        <w:ind w:firstLine="283"/>
      </w:pPr>
      <w:r>
        <w:t>A. 公共行政.</w:t>
      </w:r>
    </w:p>
    <w:p>
      <w:pPr>
        <w:spacing w:line="360" w:lineRule="auto" w:after="20"/>
        <w:ind w:firstLine="283"/>
      </w:pPr>
      <w:r>
        <w:t>B. 法律评估.</w:t>
      </w:r>
    </w:p>
    <w:p>
      <w:pPr>
        <w:spacing w:line="360" w:lineRule="auto" w:after="20"/>
        <w:ind w:firstLine="283"/>
      </w:pPr>
      <w:r>
        <w:t>C. 执法部门.</w:t>
      </w:r>
    </w:p>
    <w:p>
      <w:pPr>
        <w:spacing w:line="360" w:lineRule="auto" w:after="20"/>
        <w:ind w:firstLine="283"/>
      </w:pPr>
      <w:r>
        <w:t>D. 合法活动.</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FIU 的核心使命及 SAR 情报的终端用户</w:t>
      </w:r>
    </w:p>
    <w:p>
      <w:pPr>
        <w:spacing w:before="120" w:after="40"/>
      </w:pPr>
      <w:r>
        <w:rPr>
          <w:b/>
          <w:sz w:val="21"/>
          <w:shd w:fill="D6E4F0" w:val="clear"/>
        </w:rPr>
        <w:t>核心解析</w:t>
      </w:r>
    </w:p>
    <w:p>
      <w:pPr>
        <w:spacing w:line="360" w:lineRule="auto" w:after="40"/>
        <w:ind w:firstLine="420"/>
      </w:pPr>
      <w:r>
        <w:t>可疑活动报告（SAR）的主要目标是为执法部门提供关于涉嫌洗钱、恐怖融资及其他犯罪的可操作情报</w:t>
      </w:r>
      <w:r>
        <w:rPr>
          <w:sz w:val="15"/>
          <w:vertAlign w:val="superscript"/>
        </w:rPr>
        <w:t>P359</w:t>
      </w:r>
      <w:r>
        <w:t>。金融情报机构（FIU）作为国家中心，负责接收和分析可疑活动报告，其核心职能就是支持执法调查：各辖区应设立金融情报机构以分析可疑交易报告并支持执法调查</w:t>
      </w:r>
      <w:r>
        <w:rPr>
          <w:sz w:val="15"/>
          <w:vertAlign w:val="superscript"/>
        </w:rPr>
        <w:t>P149</w:t>
      </w:r>
      <w:r>
        <w:t>。教材在描述韩国金融情报中心时也明确指出，FIU 分析可疑交易报告并与执法机构共享信息</w:t>
      </w:r>
      <w:r>
        <w:rPr>
          <w:sz w:val="15"/>
          <w:vertAlign w:val="superscript"/>
        </w:rPr>
        <w:t>P203</w:t>
      </w:r>
      <w:r>
        <w:t>。题干问 FIU 可从其他报告实体获取与什么相关的更多信息，结合教材对 FIU 与 SAR 制度的定位，获取信息的最终目的就是服务于执法部门的调查与起诉工作。从逻辑链条看，FIU 接收 SAR → 分析研判 → 分发情报给执法部门，执法部门是这条情报链的终端用户，因此“执法部门”最直接地匹配题干要求。</w:t>
      </w:r>
    </w:p>
    <w:p>
      <w:pPr>
        <w:spacing w:before="120" w:after="40"/>
      </w:pPr>
      <w:r>
        <w:rPr>
          <w:b/>
          <w:sz w:val="21"/>
          <w:shd w:fill="D6E4F0" w:val="clear"/>
        </w:rPr>
        <w:t>教材原句</w:t>
      </w:r>
    </w:p>
    <w:p>
      <w:pPr>
        <w:spacing w:line="360" w:lineRule="auto" w:after="40"/>
        <w:ind w:firstLine="420"/>
      </w:pPr>
      <w:r>
        <w:t>"The primary goal of a suspicious activity report (SAR) is to provide law enforcement with actionable intelligence about suspected money laundering, terrorist financing, and other crimes."</w:t>
      </w:r>
    </w:p>
    <w:p>
      <w:pPr>
        <w:spacing w:before="120" w:after="40"/>
      </w:pPr>
      <w:r>
        <w:rPr>
          <w:b/>
          <w:sz w:val="21"/>
          <w:shd w:fill="D6E4F0" w:val="clear"/>
        </w:rPr>
        <w:t>A项错误</w:t>
      </w:r>
    </w:p>
    <w:p>
      <w:pPr>
        <w:spacing w:line="360" w:lineRule="auto" w:after="40"/>
        <w:ind w:firstLine="420"/>
      </w:pPr>
      <w:r>
        <w:t>教材在巴塞尔AML指数的评估维度中提及了“公共透明度与问责制”</w:t>
      </w:r>
      <w:r>
        <w:rPr>
          <w:sz w:val="15"/>
          <w:vertAlign w:val="superscript"/>
        </w:rPr>
        <w:t>P175</w:t>
      </w:r>
      <w:r>
        <w:t>和“公共财政管理技术援助”</w:t>
      </w:r>
      <w:r>
        <w:rPr>
          <w:sz w:val="15"/>
          <w:vertAlign w:val="superscript"/>
        </w:rPr>
        <w:t>P174</w:t>
      </w:r>
      <w:r>
        <w:t>，但这些概念处于评估框架下，与 FIU 从报告实体获取更多信息的目的关联较弱。题干更直接匹配执法部门作为情报接收方，而非公共行政范畴。</w:t>
      </w:r>
    </w:p>
    <w:p>
      <w:pPr>
        <w:spacing w:before="120" w:after="40"/>
      </w:pPr>
      <w:r>
        <w:rPr>
          <w:b/>
          <w:sz w:val="21"/>
          <w:shd w:fill="D6E4F0" w:val="clear"/>
        </w:rPr>
        <w:t>B项错误</w:t>
      </w:r>
    </w:p>
    <w:p>
      <w:pPr>
        <w:spacing w:line="360" w:lineRule="auto" w:after="40"/>
        <w:ind w:firstLine="420"/>
      </w:pPr>
      <w:r>
        <w:t>巴塞尔AML指数评估“法律与政治风险”</w:t>
      </w:r>
      <w:r>
        <w:rPr>
          <w:sz w:val="15"/>
          <w:vertAlign w:val="superscript"/>
        </w:rPr>
        <w:t>P175</w:t>
      </w:r>
      <w:r>
        <w:t>，但此为洗钱风险的外部评估指标。FIU 获取信息的核心导向是支持执法行动，而非进行法律评估。法律评估更偏向对法规框架或案件法律要件的判断，与 FIU 作为情报中转和分析机构的功能定位相比，执法部门更吻合教材对 FIU 职责的定义。</w:t>
      </w:r>
    </w:p>
    <w:p>
      <w:pPr>
        <w:spacing w:before="120" w:after="40"/>
      </w:pPr>
      <w:r>
        <w:rPr>
          <w:b/>
          <w:sz w:val="21"/>
          <w:shd w:fill="D6E4F0" w:val="clear"/>
        </w:rPr>
        <w:t>D项错误</w:t>
      </w:r>
    </w:p>
    <w:p>
      <w:pPr>
        <w:spacing w:line="360" w:lineRule="auto" w:after="40"/>
        <w:ind w:firstLine="420"/>
      </w:pPr>
      <w:r>
        <w:t>可疑活动报告本身针对的就是可疑或潜在非法活动</w:t>
      </w:r>
      <w:r>
        <w:rPr>
          <w:sz w:val="15"/>
          <w:vertAlign w:val="superscript"/>
        </w:rPr>
        <w:t>P346</w:t>
      </w:r>
      <w:r>
        <w:t>，合法活动不存在可疑性，因此不需要 FIU 从其他报告实体获取相关信息。该选项与 SAR 制度的基本逻辑相悖。</w:t>
      </w:r>
    </w:p>
    <w:p>
      <w:pPr>
        <w:spacing w:before="120" w:after="40"/>
      </w:pPr>
      <w:r>
        <w:rPr>
          <w:b/>
          <w:sz w:val="21"/>
          <w:shd w:fill="D6E4F0" w:val="clear"/>
        </w:rPr>
        <w:t>易错提醒</w:t>
      </w:r>
    </w:p>
    <w:p>
      <w:pPr>
        <w:spacing w:line="360" w:lineRule="auto" w:after="40"/>
        <w:ind w:firstLine="420"/>
      </w:pPr>
      <w:r>
        <w:t>“法律评估”（B）与“执法部门”（C）的根本区分在于所处环节：FIU 汇集情报→分析研判→移交执法部门采取行动。FIU 本身不做“法律评估”（如判断是否构成犯罪、适用哪条法律），而是生成情报供执法部门使用。教材将 FIU 定义为支持执法调查的机构，而非法律评估机构。</w:t>
      </w:r>
    </w:p>
    <w:p>
      <w:pPr>
        <w:spacing w:line="360" w:lineRule="auto" w:after="120"/>
      </w:pPr>
      <w:r/>
    </w:p>
    <w:p>
      <w:pPr>
        <w:spacing w:line="360" w:lineRule="auto" w:after="40"/>
      </w:pPr>
      <w:r>
        <w:t>5. 在以下哪种情况下，金融机构可以披露可疑活动报告（SAR）？ ( )</w:t>
      </w:r>
    </w:p>
    <w:p>
      <w:pPr>
        <w:spacing w:line="360" w:lineRule="auto" w:after="20"/>
        <w:ind w:firstLine="283"/>
      </w:pPr>
      <w:r>
        <w:t>A. 法院命令要求银行披露该 SAR，但须先获得法律团队的同意。</w:t>
      </w:r>
    </w:p>
    <w:p>
      <w:pPr>
        <w:spacing w:line="360" w:lineRule="auto" w:after="20"/>
        <w:ind w:firstLine="283"/>
      </w:pPr>
      <w:r>
        <w:t>B. 客户询问有关向当地金融情报机构（FIU）报告的可能性。</w:t>
      </w:r>
    </w:p>
    <w:p>
      <w:pPr>
        <w:spacing w:line="360" w:lineRule="auto" w:after="20"/>
        <w:ind w:firstLine="283"/>
      </w:pPr>
      <w:r>
        <w:t>C. 外部顾问询问 SAR 的详情。</w:t>
      </w:r>
    </w:p>
    <w:p>
      <w:pPr>
        <w:spacing w:line="360" w:lineRule="auto" w:after="20"/>
        <w:ind w:firstLine="283"/>
      </w:pPr>
      <w:r>
        <w:t>D. 第三国警方直接询问该客户。</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掌握 SAR 保密原则及其仅有的合法披露例外</w:t>
      </w:r>
    </w:p>
    <w:p>
      <w:pPr>
        <w:spacing w:before="120" w:after="40"/>
      </w:pPr>
      <w:r>
        <w:rPr>
          <w:b/>
          <w:sz w:val="21"/>
          <w:shd w:fill="D6E4F0" w:val="clear"/>
        </w:rPr>
        <w:t>核心解析</w:t>
      </w:r>
    </w:p>
    <w:p>
      <w:pPr>
        <w:spacing w:line="360" w:lineRule="auto" w:after="40"/>
        <w:ind w:firstLine="420"/>
      </w:pPr>
      <w:r>
        <w:t>教材规定，法规禁止金融机构向除特定执法机构外的任何人披露可疑活动报告（SAR）或任何表明已提交SAR的信息</w:t>
      </w:r>
      <w:r>
        <w:rPr>
          <w:sz w:val="15"/>
          <w:vertAlign w:val="superscript"/>
        </w:rPr>
        <w:t>P353</w:t>
      </w:r>
      <w:r>
        <w:t>。同时，执法机构可通过法院命令、传票等法律工具要求金融机构提供相关账户信息或交易记录</w:t>
      </w:r>
      <w:r>
        <w:rPr>
          <w:sz w:val="15"/>
          <w:vertAlign w:val="superscript"/>
        </w:rPr>
        <w:t>P336</w:t>
      </w:r>
      <w:r>
        <w:t>。选项A中，法院命令正是执法机构借助司法程序提出的正式要求，银行在获得内部法律团队同意后披露SAR，符合教材中向执法机构披露的例外情形，且内部同意步骤不改变披露的合法属性。相比之下，其他选项均涉及向客户、外部顾问或未经正式司法授权的第三国警方披露，均被禁止。</w:t>
      </w:r>
    </w:p>
    <w:p>
      <w:pPr>
        <w:spacing w:before="120" w:after="40"/>
      </w:pPr>
      <w:r>
        <w:rPr>
          <w:b/>
          <w:sz w:val="21"/>
          <w:shd w:fill="D6E4F0" w:val="clear"/>
        </w:rPr>
        <w:t>教材原句</w:t>
      </w:r>
    </w:p>
    <w:p>
      <w:pPr>
        <w:spacing w:line="360" w:lineRule="auto" w:after="40"/>
        <w:ind w:firstLine="420"/>
      </w:pPr>
      <w:r>
        <w:t>"Regulations prohibit financial institutions from disclosing a SAR, or any information that would indicate a SAR was filed, to anyone except certain law enforcement agencies."</w:t>
      </w:r>
    </w:p>
    <w:p>
      <w:pPr>
        <w:spacing w:before="120" w:after="40"/>
      </w:pPr>
      <w:r>
        <w:rPr>
          <w:b/>
          <w:sz w:val="21"/>
          <w:shd w:fill="D6E4F0" w:val="clear"/>
        </w:rPr>
        <w:t>B项错误</w:t>
      </w:r>
    </w:p>
    <w:p>
      <w:pPr>
        <w:spacing w:line="360" w:lineRule="auto" w:after="40"/>
        <w:ind w:firstLine="420"/>
      </w:pPr>
      <w:r>
        <w:t>客户询问向FIU报告的可能性，实质上等同于试图获知是否存在SAR。教材禁止向客户或任何未经授权方披露SAR</w:t>
      </w:r>
      <w:r>
        <w:rPr>
          <w:sz w:val="15"/>
          <w:vertAlign w:val="superscript"/>
        </w:rPr>
        <w:t>P352、P353</w:t>
      </w:r>
      <w:r>
        <w:t>，这种行为会构成“通风报信”（tipping off）。与A相比，B直接违反了保密原则，不具备任何合法披露前提。</w:t>
      </w:r>
    </w:p>
    <w:p>
      <w:pPr>
        <w:spacing w:before="120" w:after="40"/>
      </w:pPr>
      <w:r>
        <w:rPr>
          <w:b/>
          <w:sz w:val="21"/>
          <w:shd w:fill="D6E4F0" w:val="clear"/>
        </w:rPr>
        <w:t>C项错误</w:t>
      </w:r>
    </w:p>
    <w:p>
      <w:pPr>
        <w:spacing w:line="360" w:lineRule="auto" w:after="40"/>
        <w:ind w:firstLine="420"/>
      </w:pPr>
      <w:r>
        <w:t>外部顾问不是执法机构，也不属于允许接收SAR信息的对象</w:t>
      </w:r>
      <w:r>
        <w:rPr>
          <w:sz w:val="15"/>
          <w:vertAlign w:val="superscript"/>
        </w:rPr>
        <w:t>P353</w:t>
      </w:r>
      <w:r>
        <w:t>。即使顾问受雇于银行，内部也应限制SAR访问</w:t>
      </w:r>
      <w:r>
        <w:rPr>
          <w:sz w:val="15"/>
          <w:vertAlign w:val="superscript"/>
        </w:rPr>
        <w:t>P352</w:t>
      </w:r>
      <w:r>
        <w:t>。选项A有法院命令这一正式法律依据，匹配度远高于C的普通外部询问。</w:t>
      </w:r>
    </w:p>
    <w:p>
      <w:pPr>
        <w:spacing w:before="120" w:after="40"/>
      </w:pPr>
      <w:r>
        <w:rPr>
          <w:b/>
          <w:sz w:val="21"/>
          <w:shd w:fill="D6E4F0" w:val="clear"/>
        </w:rPr>
        <w:t>D项错误</w:t>
      </w:r>
    </w:p>
    <w:p>
      <w:pPr>
        <w:spacing w:line="360" w:lineRule="auto" w:after="40"/>
        <w:ind w:firstLine="420"/>
      </w:pPr>
      <w:r>
        <w:t>第三国警方的直接询问虽来自执法机构，但缺乏法院命令、传票等教材列举的正式法律工具</w:t>
      </w:r>
      <w:r>
        <w:rPr>
          <w:sz w:val="15"/>
          <w:vertAlign w:val="superscript"/>
        </w:rPr>
        <w:t>P336</w:t>
      </w:r>
      <w:r>
        <w:t>，且可能不具备本地司法管辖权。教材对SAR披露的例外汇聚在“特定执法机构”之上，直接询问不足以构成强制披露的合法依据，其匹配度远不及有法院命令背书的选项A。</w:t>
      </w:r>
    </w:p>
    <w:p>
      <w:pPr>
        <w:spacing w:before="120" w:after="40"/>
      </w:pPr>
      <w:r>
        <w:rPr>
          <w:b/>
          <w:sz w:val="21"/>
          <w:shd w:fill="D6E4F0" w:val="clear"/>
        </w:rPr>
        <w:t>易错提醒</w:t>
      </w:r>
    </w:p>
    <w:p>
      <w:pPr>
        <w:spacing w:line="360" w:lineRule="auto" w:after="40"/>
        <w:ind w:firstLine="420"/>
      </w:pPr>
      <w:r>
        <w:t>易混淆点：执法机构“直接询问”与“法院命令”的要求效力不同。教材P336指出执法机构可以使用法院命令、传票等工具获取记录，而直接询问仅用于促使调查。直接披露SAR给未经正式司法程序授权的执法机构（包括境外警方）仍违反保密原则，考生需注意两者的法律基础差异。</w:t>
      </w:r>
    </w:p>
    <w:p>
      <w:pPr>
        <w:spacing w:line="360" w:lineRule="auto" w:after="120"/>
      </w:pPr>
      <w:r/>
    </w:p>
    <w:p>
      <w:pPr>
        <w:spacing w:line="360" w:lineRule="auto" w:after="40"/>
      </w:pPr>
      <w:r>
        <w:t>6. 哪种情形最能说明金融机构为何会关闭客户的账户？ ( )</w:t>
      </w:r>
    </w:p>
    <w:p>
      <w:pPr>
        <w:spacing w:line="360" w:lineRule="auto" w:after="20"/>
        <w:ind w:firstLine="283"/>
      </w:pPr>
      <w:r>
        <w:t>A. 该客户是民事传票的对象</w:t>
      </w:r>
    </w:p>
    <w:p>
      <w:pPr>
        <w:spacing w:line="360" w:lineRule="auto" w:after="20"/>
        <w:ind w:firstLine="283"/>
      </w:pPr>
      <w:r>
        <w:t>B. 该客户使用与特别指定国民有业务往来的航运公司</w:t>
      </w:r>
    </w:p>
    <w:p>
      <w:pPr>
        <w:spacing w:line="360" w:lineRule="auto" w:after="20"/>
        <w:ind w:firstLine="283"/>
      </w:pPr>
      <w:r>
        <w:t>C. 该账户显示定期有固定金额的汇款用于支付学费</w:t>
      </w:r>
    </w:p>
    <w:p>
      <w:pPr>
        <w:spacing w:line="360" w:lineRule="auto" w:after="20"/>
        <w:ind w:firstLine="283"/>
      </w:pPr>
      <w:r>
        <w:t>D. 该账户有引发多份可疑活动报告的交易</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触发多份 SAR 如何反映持续的洗钱嫌疑进而导致账户关闭</w:t>
      </w:r>
    </w:p>
    <w:p>
      <w:pPr>
        <w:spacing w:before="120" w:after="40"/>
      </w:pPr>
      <w:r>
        <w:rPr>
          <w:b/>
          <w:sz w:val="21"/>
          <w:shd w:fill="D6E4F0" w:val="clear"/>
        </w:rPr>
        <w:t>核心解析</w:t>
      </w:r>
    </w:p>
    <w:p>
      <w:pPr>
        <w:spacing w:line="360" w:lineRule="auto" w:after="40"/>
        <w:ind w:firstLine="420"/>
      </w:pPr>
      <w:r>
        <w:t>教材显示，提交可疑活动报告（SAR）后，金融机构须决定是否保留或关闭受影响账户</w:t>
      </w:r>
      <w:r>
        <w:rPr>
          <w:sz w:val="15"/>
          <w:vertAlign w:val="superscript"/>
        </w:rPr>
        <w:t>P356</w:t>
      </w:r>
      <w:r>
        <w:t>。此外，机构也可在标准审查后因客户活动可疑或自身风险偏好变化而终止现有客户关系</w:t>
      </w:r>
      <w:r>
        <w:rPr>
          <w:sz w:val="15"/>
          <w:vertAlign w:val="superscript"/>
        </w:rPr>
        <w:t>P364</w:t>
      </w:r>
      <w:r>
        <w:t>。本题中，选项 D 描述的是“引发多份可疑活动报告的交易”：多份 SAR 说明该账户已多次触发机构的可疑交易审查机制，其活动特征已不再是偶然异常，而是呈现出持续、严重的可疑模式。这种反复被报告的情况直接吻合“活动可疑”这一关户理由，金融机构有充分依据据此关闭账户。相比之下，教材举例说明当银行怀疑客户洗钱时可能终止其账户</w:t>
      </w:r>
      <w:r>
        <w:rPr>
          <w:sz w:val="15"/>
          <w:vertAlign w:val="superscript"/>
        </w:rPr>
        <w:t>P238</w:t>
      </w:r>
      <w:r>
        <w:t>，而多份 SAR 的存在本身即是多家机构对该账户活动持怀疑态度的客观记录，因此 D 最能说明金融机构的关户理由。</w:t>
      </w:r>
    </w:p>
    <w:p>
      <w:pPr>
        <w:spacing w:before="120" w:after="40"/>
      </w:pPr>
      <w:r>
        <w:rPr>
          <w:b/>
          <w:sz w:val="21"/>
          <w:shd w:fill="D6E4F0" w:val="clear"/>
        </w:rPr>
        <w:t>教材原句</w:t>
      </w:r>
    </w:p>
    <w:p>
      <w:pPr>
        <w:spacing w:line="360" w:lineRule="auto" w:after="40"/>
        <w:ind w:firstLine="420"/>
      </w:pPr>
      <w:r>
        <w:t>"After filing a suspicious activity report (SAR), financial institutions must decide whether to maintain or close the impacted account."</w:t>
      </w:r>
    </w:p>
    <w:p>
      <w:pPr>
        <w:spacing w:before="120" w:after="40"/>
      </w:pPr>
      <w:r>
        <w:rPr>
          <w:b/>
          <w:sz w:val="21"/>
          <w:shd w:fill="D6E4F0" w:val="clear"/>
        </w:rPr>
        <w:t>A项错误</w:t>
      </w:r>
    </w:p>
    <w:p>
      <w:pPr>
        <w:spacing w:line="360" w:lineRule="auto" w:after="40"/>
        <w:ind w:firstLine="420"/>
      </w:pPr>
      <w:r>
        <w:t>教材指出传票会触发客户审查但不自动导致提交 SAR</w:t>
      </w:r>
      <w:r>
        <w:rPr>
          <w:sz w:val="15"/>
          <w:vertAlign w:val="superscript"/>
        </w:rPr>
        <w:t>P357</w:t>
      </w:r>
      <w:r>
        <w:t>，且执法机构可能要求保持账户开放以协助调查</w:t>
      </w:r>
      <w:r>
        <w:rPr>
          <w:sz w:val="15"/>
          <w:vertAlign w:val="superscript"/>
        </w:rPr>
        <w:t>P362</w:t>
      </w:r>
      <w:r>
        <w:t>。故民事传票与“应关闭账户”的关联不如 D 选项直接——传票本身更可能启动监控而非促发关户。</w:t>
      </w:r>
    </w:p>
    <w:p>
      <w:pPr>
        <w:spacing w:before="120" w:after="40"/>
      </w:pPr>
      <w:r>
        <w:rPr>
          <w:b/>
          <w:sz w:val="21"/>
          <w:shd w:fill="D6E4F0" w:val="clear"/>
        </w:rPr>
        <w:t>B项错误</w:t>
      </w:r>
    </w:p>
    <w:p>
      <w:pPr>
        <w:spacing w:line="360" w:lineRule="auto" w:after="40"/>
        <w:ind w:firstLine="420"/>
      </w:pPr>
      <w:r>
        <w:t>航运公司与特别指定国民有业务往来属于制裁风险信号，但题干仅提及“使用”该航运公司，材料未提供该行为本身直接对应“必须关闭账户”的规则。相比之下 D 选项中多份 SAR 已明确反映持续的可疑活动，更直接匹配教材所述的关户标准。</w:t>
      </w:r>
    </w:p>
    <w:p>
      <w:pPr>
        <w:spacing w:before="120" w:after="40"/>
      </w:pPr>
      <w:r>
        <w:rPr>
          <w:b/>
          <w:sz w:val="21"/>
          <w:shd w:fill="D6E4F0" w:val="clear"/>
        </w:rPr>
        <w:t>C项错误</w:t>
      </w:r>
    </w:p>
    <w:p>
      <w:pPr>
        <w:spacing w:line="360" w:lineRule="auto" w:after="40"/>
        <w:ind w:firstLine="420"/>
      </w:pPr>
      <w:r>
        <w:t>定期固定金额的学费汇款通常是合法的常规交易，题干未提示任何异常特征，材料也未显示此类汇款本身构成可疑活动。该选项缺乏触发关户所需的核心要素——可疑或超出风险偏好，匹配度远低于 D。</w:t>
      </w:r>
    </w:p>
    <w:p>
      <w:pPr>
        <w:spacing w:before="120" w:after="40"/>
      </w:pPr>
      <w:r>
        <w:rPr>
          <w:b/>
          <w:sz w:val="21"/>
          <w:shd w:fill="D6E4F0" w:val="clear"/>
        </w:rPr>
        <w:t>易错提醒</w:t>
      </w:r>
    </w:p>
    <w:p>
      <w:pPr>
        <w:spacing w:line="360" w:lineRule="auto" w:after="40"/>
        <w:ind w:firstLine="420"/>
      </w:pPr>
      <w:r>
        <w:t>易混淆的是“触发审查”与“导致关户”两类条件。传票或与制裁名单的关联虽可能触发审查，但不必然导致关户；多份 SAR 则直接表明客户存在持续、严重的洗钱嫌疑，更直接地匹配教材关于“因活动可疑终止账户”的规则。</w:t>
      </w:r>
    </w:p>
    <w:p>
      <w:pPr>
        <w:spacing w:line="360" w:lineRule="auto" w:after="120"/>
      </w:pPr>
      <w:r/>
    </w:p>
    <w:p>
      <w:pPr>
        <w:spacing w:line="360" w:lineRule="auto" w:after="40"/>
      </w:pPr>
      <w:r>
        <w:t>7. 一家金融机构(FI)的一名员工怀疑其一位同事参与了一个金融投资诈骗团伙。该员工接下来应采取哪一步骤? ( )</w:t>
      </w:r>
    </w:p>
    <w:p>
      <w:pPr>
        <w:spacing w:line="360" w:lineRule="auto" w:after="20"/>
        <w:ind w:firstLine="283"/>
      </w:pPr>
      <w:r>
        <w:t>A. 在向公司人力资源部门报告之前，先向同事询问以确定自己的怀疑是否正确</w:t>
      </w:r>
    </w:p>
    <w:p>
      <w:pPr>
        <w:spacing w:line="360" w:lineRule="auto" w:after="20"/>
        <w:ind w:firstLine="283"/>
      </w:pPr>
      <w:r>
        <w:t>B. 利用FI的举报渠道来举报该可疑员工</w:t>
      </w:r>
    </w:p>
    <w:p>
      <w:pPr>
        <w:spacing w:line="360" w:lineRule="auto" w:after="20"/>
        <w:ind w:firstLine="283"/>
      </w:pPr>
      <w:r>
        <w:t>C. 提醒FI的同事和客户，该员工可疑的金融投资建议可能是骗局</w:t>
      </w:r>
    </w:p>
    <w:p>
      <w:pPr>
        <w:spacing w:line="360" w:lineRule="auto" w:after="20"/>
        <w:ind w:firstLine="283"/>
      </w:pPr>
      <w:r>
        <w:t>D. 利用人工智能工具开展开源情报调查，以获取有关涉嫌员工活动的更多信息</w:t>
      </w:r>
    </w:p>
    <w:p>
      <w:pPr>
        <w:spacing w:line="360" w:lineRule="auto" w:after="20"/>
        <w:ind w:firstLine="283"/>
      </w:pPr>
      <w:r>
        <w:t>E. 将涉嫌违规的员工报告给FI的直属经理，由其采取必要的行动</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内部举报机制与报告义务——员工怀疑同事涉罪时的正确程序</w:t>
      </w:r>
    </w:p>
    <w:p>
      <w:pPr>
        <w:spacing w:before="120" w:after="40"/>
      </w:pPr>
      <w:r>
        <w:rPr>
          <w:b/>
          <w:sz w:val="21"/>
          <w:shd w:fill="D6E4F0" w:val="clear"/>
        </w:rPr>
        <w:t>核心解析</w:t>
      </w:r>
    </w:p>
    <w:p>
      <w:pPr>
        <w:spacing w:line="360" w:lineRule="auto" w:after="40"/>
        <w:ind w:firstLine="420"/>
      </w:pPr>
      <w:r>
        <w:t>机构应制定政策和程序，使员工能够向指定的合规官报告可疑情况</w:t>
      </w:r>
      <w:r>
        <w:rPr>
          <w:sz w:val="15"/>
          <w:vertAlign w:val="superscript"/>
        </w:rPr>
        <w:t>P351</w:t>
      </w:r>
      <w:r>
        <w:t>。合规官负责评估信息并决定应采取的行动</w:t>
      </w:r>
      <w:r>
        <w:rPr>
          <w:sz w:val="15"/>
          <w:vertAlign w:val="superscript"/>
        </w:rPr>
        <w:t>P351</w:t>
      </w:r>
      <w:r>
        <w:t>。题干中员工怀疑同事参与金融投资诈骗——这属于“怀疑内部人员涉及金融犯罪”的情形。此时，员工个人既不应自行调查（可能构成通风报信，P336），也不应扩散信息（可能损害调查保密性，P341），更不应越权绕过组织既定的报告层级。教材明确将举报机制（Whistleblowing）列为金融犯罪防控的重要组成部分</w:t>
      </w:r>
      <w:r>
        <w:rPr>
          <w:sz w:val="15"/>
          <w:vertAlign w:val="superscript"/>
        </w:rPr>
        <w:t>P173</w:t>
      </w:r>
      <w:r>
        <w:t>。因此，最符合教材程序要求的下一步，是利用FI的举报渠道上报——由指定合规官接收信息、评估并决定后续行动，这与教材规定的报告义务和程序框架直接吻合。</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直接询问同事（即涉嫌对象本人）存在向调查对象通风报信（tipping off）的风险。教材指出，通风报信在某些情况下属于重罪，员工可能因此面临刑事指控</w:t>
      </w:r>
      <w:r>
        <w:rPr>
          <w:sz w:val="15"/>
          <w:vertAlign w:val="superscript"/>
        </w:rPr>
        <w:t>P336</w:t>
      </w:r>
      <w:r>
        <w:t>，且调查必须避免此类行为</w:t>
      </w:r>
      <w:r>
        <w:rPr>
          <w:sz w:val="15"/>
          <w:vertAlign w:val="superscript"/>
        </w:rPr>
        <w:t>P327</w:t>
      </w:r>
      <w:r>
        <w:t>。相比之下，B选项通过举报渠道上报更符合教材对保密性和程序合规的要求。</w:t>
      </w:r>
    </w:p>
    <w:p>
      <w:pPr>
        <w:spacing w:before="120" w:after="40"/>
      </w:pPr>
      <w:r>
        <w:rPr>
          <w:b/>
          <w:sz w:val="21"/>
          <w:shd w:fill="D6E4F0" w:val="clear"/>
        </w:rPr>
        <w:t>C项错误</w:t>
      </w:r>
    </w:p>
    <w:p>
      <w:pPr>
        <w:spacing w:line="360" w:lineRule="auto" w:after="40"/>
        <w:ind w:firstLine="420"/>
      </w:pPr>
      <w:r>
        <w:t>提醒同事和客户该员工的投资建议可能是骗局，会将未核实的怀疑扩散至组织内外，既可能构成通风报信，也严重损害内部调查的保密性。教材在内部调查一段中强调需考虑保密、保护组织与员工等因素</w:t>
      </w:r>
      <w:r>
        <w:rPr>
          <w:sz w:val="15"/>
          <w:vertAlign w:val="superscript"/>
        </w:rPr>
        <w:t>P341</w:t>
      </w:r>
      <w:r>
        <w:t>。题干未赋予该员工核实和对外警示的权限，此做法不如走正规举报渠道稳妥。</w:t>
      </w:r>
    </w:p>
    <w:p>
      <w:pPr>
        <w:spacing w:before="120" w:after="40"/>
      </w:pPr>
      <w:r>
        <w:rPr>
          <w:b/>
          <w:sz w:val="21"/>
          <w:shd w:fill="D6E4F0" w:val="clear"/>
        </w:rPr>
        <w:t>D项错误</w:t>
      </w:r>
    </w:p>
    <w:p>
      <w:pPr>
        <w:spacing w:line="360" w:lineRule="auto" w:after="40"/>
        <w:ind w:firstLine="420"/>
      </w:pPr>
      <w:r>
        <w:t>教材在交易监控增强尽职调查的语境下提及使用开源情报（OSINT）进行研究</w:t>
      </w:r>
      <w:r>
        <w:rPr>
          <w:sz w:val="15"/>
          <w:vertAlign w:val="superscript"/>
        </w:rPr>
        <w:t>P334</w:t>
      </w:r>
      <w:r>
        <w:t>，也曾在供应商尽职调查中举例使用开源情报筛查董事</w:t>
      </w:r>
      <w:r>
        <w:rPr>
          <w:sz w:val="15"/>
          <w:vertAlign w:val="superscript"/>
        </w:rPr>
        <w:t>P324</w:t>
      </w:r>
      <w:r>
        <w:t>，但这些均属于正式调查流程中的合规人员职责，而非员工个人在怀疑同事时自行开展的行动。题干中的员工处于“怀疑”阶段，其角色是报告而非调查，教材分配给合规官评估信息和决定行动的职权</w:t>
      </w:r>
      <w:r>
        <w:rPr>
          <w:sz w:val="15"/>
          <w:vertAlign w:val="superscript"/>
        </w:rPr>
        <w:t>P351</w:t>
      </w:r>
      <w:r>
        <w:t>更匹配B选项。</w:t>
      </w:r>
    </w:p>
    <w:p>
      <w:pPr>
        <w:spacing w:before="120" w:after="40"/>
      </w:pPr>
      <w:r>
        <w:rPr>
          <w:b/>
          <w:sz w:val="21"/>
          <w:shd w:fill="D6E4F0" w:val="clear"/>
        </w:rPr>
        <w:t>E项错误</w:t>
      </w:r>
    </w:p>
    <w:p>
      <w:pPr>
        <w:spacing w:line="360" w:lineRule="auto" w:after="40"/>
        <w:ind w:firstLine="420"/>
      </w:pPr>
      <w:r>
        <w:t>报告给直属经理看似符合层级汇报逻辑，但教材明确要求机构建立政策和程序使员工可向“指定的合规官”报告可疑情况</w:t>
      </w:r>
      <w:r>
        <w:rPr>
          <w:sz w:val="15"/>
          <w:vertAlign w:val="superscript"/>
        </w:rPr>
        <w:t>P351</w:t>
      </w:r>
      <w:r>
        <w:t>，并提供清晰的举报渠道。举报机制的存在正是为了确保信息不被中间层级过滤或延误。在举报渠道可用的情况下，B选项比直接报告直属经理更直接匹配教材对内部报告程序的设计。</w:t>
      </w:r>
    </w:p>
    <w:p>
      <w:pPr>
        <w:spacing w:before="120" w:after="40"/>
      </w:pPr>
      <w:r>
        <w:rPr>
          <w:b/>
          <w:sz w:val="21"/>
          <w:shd w:fill="D6E4F0" w:val="clear"/>
        </w:rPr>
        <w:t>易错提醒</w:t>
      </w:r>
    </w:p>
    <w:p>
      <w:pPr>
        <w:spacing w:line="360" w:lineRule="auto" w:after="40"/>
        <w:ind w:firstLine="420"/>
      </w:pPr>
      <w:r>
        <w:t>“自行调查”vs“报告”：员工个人的职责边界是报告可疑情况，而非开展调查。教材将调查职责分配给合规官或指定调查人员</w:t>
      </w:r>
      <w:r>
        <w:rPr>
          <w:sz w:val="15"/>
          <w:vertAlign w:val="superscript"/>
        </w:rPr>
        <w:t>P341、P351</w:t>
      </w:r>
      <w:r>
        <w:t>，员工越权询问涉嫌对象或自行搜索证据，可能构成通风报信（tipping off），这在某些司法管辖区属于重罪</w:t>
      </w:r>
      <w:r>
        <w:rPr>
          <w:sz w:val="15"/>
          <w:vertAlign w:val="superscript"/>
        </w:rPr>
        <w:t>P336</w:t>
      </w:r>
      <w:r>
        <w:t>。判断标准是：怀疑发生后，是选择“上报给指定渠道”还是选择“自己动手查/问/扩散”。</w:t>
      </w:r>
    </w:p>
    <w:p>
      <w:pPr>
        <w:spacing w:line="360" w:lineRule="auto" w:after="120"/>
      </w:pPr>
      <w:r/>
    </w:p>
    <w:p>
      <w:pPr>
        <w:spacing w:line="360" w:lineRule="auto" w:after="40"/>
      </w:pPr>
      <w:r>
        <w:t>8. 一家大型银行的合规官接到任务，要对一位长期客户的一系列异常交易进行调查。该客户在短时间内向多个账户存入了多笔大额现金，这引起了警觉。在收集并分析交易数据、查阅客户记录以及与外部资料进行交叉比对后，合规官认定有合理理由怀疑存在洗钱行为。作为调查记录的一部分，合规官必须决定如何以及何时在内部上报此事，以及是否要提交可疑活动报告（SAR）。在这个过程中，接下来的关键步骤是什么？ ( )</w:t>
      </w:r>
    </w:p>
    <w:p>
      <w:pPr>
        <w:spacing w:line="360" w:lineRule="auto" w:after="20"/>
        <w:ind w:firstLine="283"/>
      </w:pPr>
      <w:r>
        <w:t>A. 记录客户的交易历史，并在发现进一步可疑活动之前对调查内容保密</w:t>
      </w:r>
    </w:p>
    <w:p>
      <w:pPr>
        <w:spacing w:line="360" w:lineRule="auto" w:after="20"/>
        <w:ind w:firstLine="283"/>
      </w:pPr>
      <w:r>
        <w:t>B. 立即将此情况上报给高级管理层，建议因潜在的声誉风险关闭该客户的账户</w:t>
      </w:r>
    </w:p>
    <w:p>
      <w:pPr>
        <w:spacing w:line="360" w:lineRule="auto" w:after="20"/>
        <w:ind w:firstLine="283"/>
      </w:pPr>
      <w:r>
        <w:t>C. 将调查情况报告给外部审计员，并在采取任何行动之前等待进一步的指示</w:t>
      </w:r>
    </w:p>
    <w:p>
      <w:pPr>
        <w:spacing w:line="360" w:lineRule="auto" w:after="20"/>
        <w:ind w:firstLine="283"/>
      </w:pPr>
      <w:r>
        <w:t>D. 拟写一份可疑活动报告，其中应包含交易的详细时间线、客户背景以及产生怀疑的理由，并在监管规定的时间内提交给相关金融情报机构（FIU）</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合理怀疑洗钱后必须及时提交SAR，并包含规定内容</w:t>
      </w:r>
    </w:p>
    <w:p>
      <w:pPr>
        <w:spacing w:before="120" w:after="40"/>
      </w:pPr>
      <w:r>
        <w:rPr>
          <w:b/>
          <w:sz w:val="21"/>
          <w:shd w:fill="D6E4F0" w:val="clear"/>
        </w:rPr>
        <w:t>核心解析</w:t>
      </w:r>
    </w:p>
    <w:p>
      <w:pPr>
        <w:spacing w:line="360" w:lineRule="auto" w:after="40"/>
        <w:ind w:firstLine="420"/>
      </w:pPr>
      <w:r>
        <w:t>教材规定，一旦怀疑或知悉客户从事洗钱等犯罪活动，就应立即建议提交可疑活动报告（SAR）</w:t>
      </w:r>
      <w:r>
        <w:rPr>
          <w:sz w:val="15"/>
          <w:vertAlign w:val="superscript"/>
        </w:rPr>
        <w:t>P352</w:t>
      </w:r>
      <w:r>
        <w:t>。并且，SAR 需要包含客户信息、交易活动、怀疑理由及支持证据</w:t>
      </w:r>
      <w:r>
        <w:rPr>
          <w:sz w:val="15"/>
          <w:vertAlign w:val="superscript"/>
        </w:rPr>
        <w:t>P353</w:t>
      </w:r>
      <w:r>
        <w:t>，同时在监管设定的时限内提交</w:t>
      </w:r>
      <w:r>
        <w:rPr>
          <w:sz w:val="15"/>
          <w:vertAlign w:val="superscript"/>
        </w:rPr>
        <w:t>P352</w:t>
      </w:r>
      <w:r>
        <w:t>。本题中，合规官已经通过分析交易数据、客户记录和外部交叉比对，认定了存在洗钱的合理理由怀疑，此时关键下一步就是在时限内撰拟并提交一份包含交易时间线、客户背景与怀疑理由的 SAR 给金融情报机构（FIU），选项 D 完整覆盖了这些要求。相比之下，提交 SAR 之前不宜先关闭账户（账户决策应在 SAR 之后，P356），也不应等待外部审计员指示（合规官有责任自行评估并决定上报，P351），更不应推迟到再发现更多可疑活动后才行动。</w:t>
      </w:r>
    </w:p>
    <w:p>
      <w:pPr>
        <w:spacing w:before="120" w:after="40"/>
      </w:pPr>
      <w:r>
        <w:rPr>
          <w:b/>
          <w:sz w:val="21"/>
          <w:shd w:fill="D6E4F0" w:val="clear"/>
        </w:rPr>
        <w:t>教材原句</w:t>
      </w:r>
    </w:p>
    <w:p>
      <w:pPr>
        <w:spacing w:line="360" w:lineRule="auto" w:after="40"/>
        <w:ind w:firstLine="420"/>
      </w:pPr>
      <w:r>
        <w:t>"You should recommend a SAR as soon as you suspect, or know, that a person is engaged in money laundering, terrorist financing, or other criminal activity."</w:t>
      </w:r>
    </w:p>
    <w:p>
      <w:pPr>
        <w:spacing w:before="120" w:after="40"/>
      </w:pPr>
      <w:r>
        <w:rPr>
          <w:b/>
          <w:sz w:val="21"/>
          <w:shd w:fill="D6E4F0" w:val="clear"/>
        </w:rPr>
        <w:t>A项错误</w:t>
      </w:r>
    </w:p>
    <w:p>
      <w:pPr>
        <w:spacing w:line="360" w:lineRule="auto" w:after="40"/>
        <w:ind w:firstLine="420"/>
      </w:pPr>
      <w:r>
        <w:t>教材要求一旦活动被认定为可疑，报告时限便开始，必须在规定时限内提交 SAR</w:t>
      </w:r>
      <w:r>
        <w:rPr>
          <w:sz w:val="15"/>
          <w:vertAlign w:val="superscript"/>
        </w:rPr>
        <w:t>P352</w:t>
      </w:r>
      <w:r>
        <w:t>，而 A 主张等到发现“进一步可疑活动”后再处理，不符合及时提交的监管要求。题干已明确合规官已有合理理由怀疑洗钱，无需也不应等待更多信号才行动，D 则直接满足报告义务。</w:t>
      </w:r>
    </w:p>
    <w:p>
      <w:pPr>
        <w:spacing w:before="120" w:after="40"/>
      </w:pPr>
      <w:r>
        <w:rPr>
          <w:b/>
          <w:sz w:val="21"/>
          <w:shd w:fill="D6E4F0" w:val="clear"/>
        </w:rPr>
        <w:t>B项错误</w:t>
      </w:r>
    </w:p>
    <w:p>
      <w:pPr>
        <w:spacing w:line="360" w:lineRule="auto" w:after="40"/>
        <w:ind w:firstLine="420"/>
      </w:pPr>
      <w:r>
        <w:t>教材明确，账户保留或关闭的决定应在提交 SAR 之后，依据机构风险偏好和执法要求作出</w:t>
      </w:r>
      <w:r>
        <w:rPr>
          <w:sz w:val="15"/>
          <w:vertAlign w:val="superscript"/>
        </w:rPr>
        <w:t>P356</w:t>
      </w:r>
      <w:r>
        <w:t>。B 跳过了提交 SAR 这一步，直接建议关闭账户，且以“潜在声誉风险”为主要理由，而题干核心是洗钱怀疑，反洗钱框架更强调先履行法定报告义务，D 的路径更符合流程逻辑。</w:t>
      </w:r>
    </w:p>
    <w:p>
      <w:pPr>
        <w:spacing w:before="120" w:after="40"/>
      </w:pPr>
      <w:r>
        <w:rPr>
          <w:b/>
          <w:sz w:val="21"/>
          <w:shd w:fill="D6E4F0" w:val="clear"/>
        </w:rPr>
        <w:t>C项错误</w:t>
      </w:r>
    </w:p>
    <w:p>
      <w:pPr>
        <w:spacing w:line="360" w:lineRule="auto" w:after="40"/>
        <w:ind w:firstLine="420"/>
      </w:pPr>
      <w:r>
        <w:t>教材指出，合规官负责评估信息并决定应采取的行动，若需对外报告，最通常的做法是向主管机构提交 SAR</w:t>
      </w:r>
      <w:r>
        <w:rPr>
          <w:sz w:val="15"/>
          <w:vertAlign w:val="superscript"/>
        </w:rPr>
        <w:t>P351</w:t>
      </w:r>
      <w:r>
        <w:t>。外部审计员并非接收可疑活动报告的义务对象，等待其指示会延误法定报告时限，与监管要求不符。D 直接向 FIU 提交 SAR，更贴合合规官的职责和报告路径。</w:t>
      </w:r>
    </w:p>
    <w:p>
      <w:pPr>
        <w:spacing w:before="120" w:after="40"/>
      </w:pPr>
      <w:r>
        <w:rPr>
          <w:b/>
          <w:sz w:val="21"/>
          <w:shd w:fill="D6E4F0" w:val="clear"/>
        </w:rPr>
        <w:t>易错提醒</w:t>
      </w:r>
    </w:p>
    <w:p>
      <w:pPr>
        <w:spacing w:line="360" w:lineRule="auto" w:after="40"/>
        <w:ind w:firstLine="420"/>
      </w:pPr>
      <w:r>
        <w:t>一旦形成合理怀疑就必须及时提交 SAR，而不是先关闭账户或等待外部指令；账户是否关闭是提交 SAR 之后的决策</w:t>
      </w:r>
      <w:r>
        <w:rPr>
          <w:sz w:val="15"/>
          <w:vertAlign w:val="superscript"/>
        </w:rPr>
        <w:t>P356</w:t>
      </w:r>
      <w:r>
        <w:t>。</w:t>
      </w:r>
    </w:p>
    <w:p>
      <w:pPr>
        <w:spacing w:line="360" w:lineRule="auto" w:after="120"/>
      </w:pPr>
      <w:r/>
    </w:p>
    <w:p>
      <w:pPr>
        <w:spacing w:line="360" w:lineRule="auto" w:after="40"/>
      </w:pPr>
      <w:r>
        <w:t>9. 根据金融行动特别工作组(FATF)关于“通风报信”的建议，以下哪项陈述准确描述了报告实体的义务？ ( )</w:t>
      </w:r>
    </w:p>
    <w:p>
      <w:pPr>
        <w:spacing w:line="360" w:lineRule="auto" w:after="20"/>
        <w:ind w:firstLine="283"/>
      </w:pPr>
      <w:r>
        <w:t>A. 报告主体不得向客户或第三方披露已提交可疑活动报告(SAR)或正在接受调查的情况</w:t>
      </w:r>
    </w:p>
    <w:p>
      <w:pPr>
        <w:spacing w:line="360" w:lineRule="auto" w:after="20"/>
        <w:ind w:firstLine="283"/>
      </w:pPr>
      <w:r>
        <w:t>B. 报告主体可以在组织内部共享有关可疑活动的一般信息，同时不泄露机密</w:t>
      </w:r>
    </w:p>
    <w:p>
      <w:pPr>
        <w:spacing w:line="360" w:lineRule="auto" w:after="20"/>
        <w:ind w:firstLine="283"/>
      </w:pPr>
      <w:r>
        <w:t>C. 报告主体必须在其向客户提交可疑活动报告(SAR)时告知客户，这是保持客户关系透明度的一部分</w:t>
      </w:r>
    </w:p>
    <w:p>
      <w:pPr>
        <w:spacing w:line="360" w:lineRule="auto" w:after="20"/>
        <w:ind w:firstLine="283"/>
      </w:pPr>
      <w:r>
        <w:t>D. 报告主体在提交可疑活动报告之前，如果与客户讨论可疑活动有助于澄清情况，可与客户进行讨论</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FATF 禁止向客户披露 SAR 提交情况的核心反泄密原则</w:t>
      </w:r>
    </w:p>
    <w:p>
      <w:pPr>
        <w:spacing w:before="120" w:after="40"/>
      </w:pPr>
      <w:r>
        <w:rPr>
          <w:b/>
          <w:sz w:val="21"/>
          <w:shd w:fill="D6E4F0" w:val="clear"/>
        </w:rPr>
        <w:t>核心解析</w:t>
      </w:r>
    </w:p>
    <w:p>
      <w:pPr>
        <w:spacing w:line="360" w:lineRule="auto" w:after="40"/>
        <w:ind w:firstLine="420"/>
      </w:pPr>
      <w:r>
        <w:t>向客户披露可疑活动报告内容构成一项被禁止的违法行为，称为“通风报信”</w:t>
      </w:r>
      <w:r>
        <w:rPr>
          <w:sz w:val="15"/>
          <w:vertAlign w:val="superscript"/>
        </w:rPr>
        <w:t>P353</w:t>
      </w:r>
      <w:r>
        <w:t>。法规禁止金融机构向除执法机构外的任何人披露 SAR，或任何能表明已提交 SAR 的信息</w:t>
      </w:r>
      <w:r>
        <w:rPr>
          <w:sz w:val="15"/>
          <w:vertAlign w:val="superscript"/>
        </w:rPr>
        <w:t>P353</w:t>
      </w:r>
      <w:r>
        <w:t>。本题中，选项 A 准确表达了这一核心义务——报告实体不得向客户或第三方披露 SAR 已提交或正在受调查的情况，直接对应教材中对“通风报信”的禁止性规定。</w:t>
      </w:r>
    </w:p>
    <w:p>
      <w:pPr>
        <w:spacing w:before="120" w:after="40"/>
      </w:pPr>
      <w:r>
        <w:rPr>
          <w:b/>
          <w:sz w:val="21"/>
          <w:shd w:fill="D6E4F0" w:val="clear"/>
        </w:rPr>
        <w:t>B项错误</w:t>
      </w:r>
    </w:p>
    <w:p>
      <w:pPr>
        <w:spacing w:line="360" w:lineRule="auto" w:after="40"/>
        <w:ind w:firstLine="420"/>
      </w:pPr>
      <w:r>
        <w:t>教材指出，即使在机构内部，SAR 也应谨慎处理，并非所有人都应有权访问此类信息</w:t>
      </w:r>
      <w:r>
        <w:rPr>
          <w:sz w:val="15"/>
          <w:vertAlign w:val="superscript"/>
        </w:rPr>
        <w:t>P352</w:t>
      </w:r>
      <w:r>
        <w:t>。这意味着内部共享有严格的访问限制，而非可以随意分享“一般信息”。相比之下，A 的禁止性义务更直接吻合 FATF 对“通风报信”的核心规定。</w:t>
      </w:r>
    </w:p>
    <w:p>
      <w:pPr>
        <w:spacing w:before="120" w:after="40"/>
      </w:pPr>
      <w:r>
        <w:rPr>
          <w:b/>
          <w:sz w:val="21"/>
          <w:shd w:fill="D6E4F0" w:val="clear"/>
        </w:rPr>
        <w:t>C项错误</w:t>
      </w:r>
    </w:p>
    <w:p>
      <w:pPr>
        <w:spacing w:line="360" w:lineRule="auto" w:after="40"/>
        <w:ind w:firstLine="420"/>
      </w:pPr>
      <w:r>
        <w:t>向客户披露 SAR 内容直接构成“通风报信”违法行为</w:t>
      </w:r>
      <w:r>
        <w:rPr>
          <w:sz w:val="15"/>
          <w:vertAlign w:val="superscript"/>
        </w:rPr>
        <w:t>P353</w:t>
      </w:r>
      <w:r>
        <w:t>。以“透明度”为由告知客户与 FATF 规则完全相反。题干更支持 A 的禁止立场，而非 C 的主动告知要求。</w:t>
      </w:r>
    </w:p>
    <w:p>
      <w:pPr>
        <w:spacing w:before="120" w:after="40"/>
      </w:pPr>
      <w:r>
        <w:rPr>
          <w:b/>
          <w:sz w:val="21"/>
          <w:shd w:fill="D6E4F0" w:val="clear"/>
        </w:rPr>
        <w:t>D项错误</w:t>
      </w:r>
    </w:p>
    <w:p>
      <w:pPr>
        <w:spacing w:line="360" w:lineRule="auto" w:after="40"/>
        <w:ind w:firstLine="420"/>
      </w:pPr>
      <w:r>
        <w:t>教材提到，在决定提交 SAR 之前，机构可能需要进一步调研以获取更多信息</w:t>
      </w:r>
      <w:r>
        <w:rPr>
          <w:sz w:val="15"/>
          <w:vertAlign w:val="superscript"/>
        </w:rPr>
        <w:t>P346</w:t>
      </w:r>
      <w:r>
        <w:t>，但从未允许与客户讨论可疑活动。与客户讨论实质上是变相“通风报信”，与 A 的禁止义务根本冲突。</w:t>
      </w:r>
    </w:p>
    <w:p>
      <w:pPr>
        <w:spacing w:before="120" w:after="40"/>
      </w:pPr>
      <w:r>
        <w:rPr>
          <w:b/>
          <w:sz w:val="21"/>
          <w:shd w:fill="D6E4F0" w:val="clear"/>
        </w:rPr>
        <w:t>易错提醒</w:t>
      </w:r>
    </w:p>
    <w:p>
      <w:pPr>
        <w:spacing w:line="360" w:lineRule="auto" w:after="40"/>
        <w:ind w:firstLine="420"/>
      </w:pPr>
      <w:r>
        <w:t>“通风报信”不仅禁止直接说“我们已提交了您的 SAR”，也禁止任何能暗示客户正被调查的信息。对内部人员同样有限制，不是所有员工都有权接触 SAR。</w:t>
      </w:r>
    </w:p>
    <w:p>
      <w:pPr>
        <w:spacing w:line="360" w:lineRule="auto" w:after="120"/>
      </w:pPr>
      <w:r/>
    </w:p>
    <w:p>
      <w:pPr>
        <w:spacing w:line="360" w:lineRule="auto" w:after="40"/>
      </w:pPr>
      <w:r>
        <w:t>10. 一家金融机构(FI)的一名员工怀疑其一名同事参与了一个金融投资诈骗团伙.对于有怀疑的员工来说,接下来应该采取哪一步骤？ ( )</w:t>
      </w:r>
    </w:p>
    <w:p>
      <w:pPr>
        <w:spacing w:line="360" w:lineRule="auto" w:after="20"/>
        <w:ind w:firstLine="283"/>
      </w:pPr>
      <w:r>
        <w:t>A. 利用人工智能工具开展开源情报调查,以获取有关涉嫌员工活动的更多信息</w:t>
      </w:r>
    </w:p>
    <w:p>
      <w:pPr>
        <w:spacing w:line="360" w:lineRule="auto" w:after="20"/>
        <w:ind w:firstLine="283"/>
      </w:pPr>
      <w:r>
        <w:t>B. 利用FI的举报渠道举报该可疑员工</w:t>
      </w:r>
    </w:p>
    <w:p>
      <w:pPr>
        <w:spacing w:line="360" w:lineRule="auto" w:after="20"/>
        <w:ind w:firstLine="283"/>
      </w:pPr>
      <w:r>
        <w:t>C. 在向金融机构的人力资源部门报告之前,先向其同事询问以确定自己的怀疑是否正确.</w:t>
      </w:r>
    </w:p>
    <w:p>
      <w:pPr>
        <w:spacing w:line="360" w:lineRule="auto" w:after="20"/>
        <w:ind w:firstLine="283"/>
      </w:pPr>
      <w:r>
        <w:t>D. 提醒该金融机构的同事和客户,该员工提出的可疑金融投资建议可能是骗局</w:t>
      </w:r>
    </w:p>
    <w:p>
      <w:pPr>
        <w:spacing w:line="360" w:lineRule="auto" w:after="20"/>
        <w:ind w:firstLine="283"/>
      </w:pPr>
      <w:r>
        <w:t>E. 将涉嫌违规的员工报告给金融机构的直属经理,由其采取必要的行动</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怀疑同事违规应通过机构举报渠道上报合规官</w:t>
      </w:r>
    </w:p>
    <w:p>
      <w:pPr>
        <w:spacing w:before="120" w:after="40"/>
      </w:pPr>
      <w:r>
        <w:rPr>
          <w:b/>
          <w:sz w:val="21"/>
          <w:shd w:fill="D6E4F0" w:val="clear"/>
        </w:rPr>
        <w:t>核心解析</w:t>
      </w:r>
    </w:p>
    <w:p>
      <w:pPr>
        <w:spacing w:line="360" w:lineRule="auto" w:after="40"/>
        <w:ind w:firstLine="420"/>
      </w:pPr>
      <w:r>
        <w:t>教材规定，机构应制定政策和程序，使员工能够向指定合规官报告可疑情况</w:t>
      </w:r>
      <w:r>
        <w:rPr>
          <w:sz w:val="15"/>
          <w:vertAlign w:val="superscript"/>
        </w:rPr>
        <w:t>P351</w:t>
      </w:r>
      <w:r>
        <w:t>。所有调查行动必须遵守法律与组织政策，尤其须避免通风报信，向调查对象泄露信息在某些法域是重罪</w:t>
      </w:r>
      <w:r>
        <w:rPr>
          <w:sz w:val="15"/>
          <w:vertAlign w:val="superscript"/>
        </w:rPr>
        <w:t>P336</w:t>
      </w:r>
      <w:r>
        <w:t>。题干中员工怀疑同事参与金融投资诈骗，属于应报告的可疑行为。因此，员工下一步应使用金融机构的举报渠道举报，而非自行调查、询问同事或警告他人。这符合教材对内部报告路径的要求，既保护员工，也避免妨碍正式调查。</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开源情报调查在教材中属于正式调查阶段的工具</w:t>
      </w:r>
      <w:r>
        <w:rPr>
          <w:sz w:val="15"/>
          <w:vertAlign w:val="superscript"/>
        </w:rPr>
        <w:t>P324、P334</w:t>
      </w:r>
      <w:r>
        <w:t>，而员工刚产生怀疑时应首先报告，而非自行收集信息，A 的步骤不如直接使用举报渠道符合教材对员工报告义务的规定。</w:t>
      </w:r>
    </w:p>
    <w:p>
      <w:pPr>
        <w:spacing w:before="120" w:after="40"/>
      </w:pPr>
      <w:r>
        <w:rPr>
          <w:b/>
          <w:sz w:val="21"/>
          <w:shd w:fill="D6E4F0" w:val="clear"/>
        </w:rPr>
        <w:t>C项错误</w:t>
      </w:r>
    </w:p>
    <w:p>
      <w:pPr>
        <w:spacing w:line="360" w:lineRule="auto" w:after="40"/>
        <w:ind w:firstLine="420"/>
      </w:pPr>
      <w:r>
        <w:t>向同事询问会构成通风报信，教材强调必须避免向潜在调查对象透露调查信息，通风报信在某些法域属于重罪</w:t>
      </w:r>
      <w:r>
        <w:rPr>
          <w:sz w:val="15"/>
          <w:vertAlign w:val="superscript"/>
        </w:rPr>
        <w:t>P336</w:t>
      </w:r>
      <w:r>
        <w:t>。因此，员工不应直接质询同事，而应通过举报渠道报告。</w:t>
      </w:r>
    </w:p>
    <w:p>
      <w:pPr>
        <w:spacing w:before="120" w:after="40"/>
      </w:pPr>
      <w:r>
        <w:rPr>
          <w:b/>
          <w:sz w:val="21"/>
          <w:shd w:fill="D6E4F0" w:val="clear"/>
        </w:rPr>
        <w:t>D项错误</w:t>
      </w:r>
    </w:p>
    <w:p>
      <w:pPr>
        <w:spacing w:line="360" w:lineRule="auto" w:after="40"/>
        <w:ind w:firstLine="420"/>
      </w:pPr>
      <w:r>
        <w:t>提醒同事和客户等同于通风报信，教材要求在有金融犯罪嫌疑时不得向客户或潜在对象泄密</w:t>
      </w:r>
      <w:r>
        <w:rPr>
          <w:sz w:val="15"/>
          <w:vertAlign w:val="superscript"/>
        </w:rPr>
        <w:t>P364、P336</w:t>
      </w:r>
      <w:r>
        <w:t>，这会打草惊蛇并可能使员工面临法律责任。</w:t>
      </w:r>
    </w:p>
    <w:p>
      <w:pPr>
        <w:spacing w:before="120" w:after="40"/>
      </w:pPr>
      <w:r>
        <w:rPr>
          <w:b/>
          <w:sz w:val="21"/>
          <w:shd w:fill="D6E4F0" w:val="clear"/>
        </w:rPr>
        <w:t>E项错误</w:t>
      </w:r>
    </w:p>
    <w:p>
      <w:pPr>
        <w:spacing w:line="360" w:lineRule="auto" w:after="40"/>
        <w:ind w:firstLine="420"/>
      </w:pPr>
      <w:r>
        <w:t>教材规定可疑情况应向指定合规官报告</w:t>
      </w:r>
      <w:r>
        <w:rPr>
          <w:sz w:val="15"/>
          <w:vertAlign w:val="superscript"/>
        </w:rPr>
        <w:t>P351</w:t>
      </w:r>
      <w:r>
        <w:t>，而非仅报告给直属经理。员工使用正式举报渠道才能确保遵循政策和保护程序，E 的路径不如 B 直接对应教材设计的报告机制。</w:t>
      </w:r>
    </w:p>
    <w:p>
      <w:pPr>
        <w:spacing w:before="120" w:after="40"/>
      </w:pPr>
      <w:r>
        <w:rPr>
          <w:b/>
          <w:sz w:val="21"/>
          <w:shd w:fill="D6E4F0" w:val="clear"/>
        </w:rPr>
        <w:t>易错提醒</w:t>
      </w:r>
    </w:p>
    <w:p>
      <w:pPr>
        <w:spacing w:line="360" w:lineRule="auto" w:after="40"/>
        <w:ind w:firstLine="420"/>
      </w:pPr>
      <w:r>
        <w:t>区分“向合规官举报”与“报告给直属经理或自行调查”：教材要求组织建立举报渠道使员工直接向合规官报告可疑行为</w:t>
      </w:r>
      <w:r>
        <w:rPr>
          <w:sz w:val="15"/>
          <w:vertAlign w:val="superscript"/>
        </w:rPr>
        <w:t>P351</w:t>
      </w:r>
      <w:r>
        <w:t>，以保障保密性并避免通风报信</w:t>
      </w:r>
      <w:r>
        <w:rPr>
          <w:sz w:val="15"/>
          <w:vertAlign w:val="superscript"/>
        </w:rPr>
        <w:t>P336</w:t>
      </w:r>
      <w:r>
        <w:t>。员工不应自行调查或告知他人，须严格按机构举报程序行事。</w:t>
      </w:r>
    </w:p>
    <w:p>
      <w:pPr>
        <w:spacing w:line="360" w:lineRule="auto" w:after="120"/>
      </w:pPr>
      <w:r/>
    </w:p>
    <w:p>
      <w:pPr>
        <w:spacing w:line="360" w:lineRule="auto" w:after="40"/>
      </w:pPr>
      <w:r>
        <w:t>11. 一家金融机构的交易监控系统发现，一个小型企业账户发起的国际电汇数量异常增多，这些电汇被汇往多个监管宽松的司法管辖区。此外，一名员工在客户到访时报告称，该账户持有人有可疑行为，其要求提取大额现金，却未给出合理的商业理由。作为调查的一部分，合规团队必须评估这些活动是否可疑，并确定下一步的适当行动。在调查过程中，为了妥善收集信息并评估交易是否可疑，首先应采取以下哪一步骤？ ( )</w:t>
      </w:r>
    </w:p>
    <w:p>
      <w:pPr>
        <w:spacing w:line="360" w:lineRule="auto" w:after="20"/>
        <w:ind w:firstLine="283"/>
      </w:pPr>
      <w:r>
        <w:t>A. 查看该账户的交易记录，以识别相关模式，包括电汇的频率、目的地和用途</w:t>
      </w:r>
    </w:p>
    <w:p>
      <w:pPr>
        <w:spacing w:line="360" w:lineRule="auto" w:after="20"/>
        <w:ind w:firstLine="283"/>
      </w:pPr>
      <w:r>
        <w:t>B. 通知高级管理层，并建议关闭账户以规避潜在风险</w:t>
      </w:r>
    </w:p>
    <w:p>
      <w:pPr>
        <w:spacing w:line="360" w:lineRule="auto" w:after="20"/>
        <w:ind w:firstLine="283"/>
      </w:pPr>
      <w:r>
        <w:t>C. 立即根据员工报告的可疑行为提交可疑活动报告（SAR）</w:t>
      </w:r>
    </w:p>
    <w:p>
      <w:pPr>
        <w:spacing w:line="360" w:lineRule="auto" w:after="20"/>
        <w:ind w:firstLine="283"/>
      </w:pPr>
      <w:r>
        <w:t>D. 直接联系客户，询问其大额现金支取的原因</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可疑活动调查的第一步是审查案件事实与交易模式</w:t>
      </w:r>
    </w:p>
    <w:p>
      <w:pPr>
        <w:spacing w:before="120" w:after="40"/>
      </w:pPr>
      <w:r>
        <w:rPr>
          <w:b/>
          <w:sz w:val="21"/>
          <w:shd w:fill="D6E4F0" w:val="clear"/>
        </w:rPr>
        <w:t>核心解析</w:t>
      </w:r>
    </w:p>
    <w:p>
      <w:pPr>
        <w:spacing w:line="360" w:lineRule="auto" w:after="40"/>
        <w:ind w:firstLine="420"/>
      </w:pPr>
      <w:r>
        <w:t>发现异常活动后，机构必须审查案件事实并决定是否提交可疑活动报告</w:t>
      </w:r>
      <w:r>
        <w:rPr>
          <w:sz w:val="15"/>
          <w:vertAlign w:val="superscript"/>
        </w:rPr>
        <w:t>P357</w:t>
      </w:r>
      <w:r>
        <w:t>。调查阶段的具体步骤包括分析交易模式和频率</w:t>
      </w:r>
      <w:r>
        <w:rPr>
          <w:sz w:val="15"/>
          <w:vertAlign w:val="superscript"/>
        </w:rPr>
        <w:t>P334</w:t>
      </w:r>
      <w:r>
        <w:t>，以及审查同一账户或客户过往的交易模式</w:t>
      </w:r>
      <w:r>
        <w:rPr>
          <w:sz w:val="15"/>
          <w:vertAlign w:val="superscript"/>
        </w:rPr>
        <w:t>P337</w:t>
      </w:r>
      <w:r>
        <w:t>。题干中交易监控系统已警示一家小型企业账户向多个监管宽松司法管辖区进行异常高频电汇，员工亦报告客户要求无合理解释的大额现金提取——这构成教材所述的“异常活动”。因此，调查首先应查看该账户的交易历史，识别电汇的频率、目的地和用途等模式，以收集充分事实依据，为后续是否提交可疑活动报告提供支撑。该行动直接对应教材对调查初始步骤的描述，相比其他选项更早处于流程前段。</w:t>
      </w:r>
    </w:p>
    <w:p>
      <w:pPr>
        <w:spacing w:before="120" w:after="40"/>
      </w:pPr>
      <w:r>
        <w:rPr>
          <w:b/>
          <w:sz w:val="21"/>
          <w:shd w:fill="D6E4F0" w:val="clear"/>
        </w:rPr>
        <w:t>教材原句</w:t>
      </w:r>
    </w:p>
    <w:p>
      <w:pPr>
        <w:spacing w:line="360" w:lineRule="auto" w:after="40"/>
        <w:ind w:firstLine="420"/>
      </w:pPr>
      <w:r>
        <w:t>"When they detect unusual activity, they must examine the case facts and decide whether to file a suspicious activity report (SAR)."</w:t>
      </w:r>
    </w:p>
    <w:p>
      <w:pPr>
        <w:spacing w:before="120" w:after="40"/>
      </w:pPr>
      <w:r>
        <w:rPr>
          <w:b/>
          <w:sz w:val="21"/>
          <w:shd w:fill="D6E4F0" w:val="clear"/>
        </w:rPr>
        <w:t>B项错误</w:t>
      </w:r>
    </w:p>
    <w:p>
      <w:pPr>
        <w:spacing w:line="360" w:lineRule="auto" w:after="40"/>
        <w:ind w:firstLine="420"/>
      </w:pPr>
      <w:r>
        <w:t>通知高级管理层并建议关闭账户的决策，在教材流程中属于提交可疑活动报告之后的阶段</w:t>
      </w:r>
      <w:r>
        <w:rPr>
          <w:sz w:val="15"/>
          <w:vertAlign w:val="superscript"/>
        </w:rPr>
        <w:t>P356</w:t>
      </w:r>
      <w:r>
        <w:t>。在调查初期尚未确定交易是否可疑、更未提交报告的情况下，直接建议关闭账户超越了当前应有的调查步骤。</w:t>
      </w:r>
    </w:p>
    <w:p>
      <w:pPr>
        <w:spacing w:before="120" w:after="40"/>
      </w:pPr>
      <w:r>
        <w:rPr>
          <w:b/>
          <w:sz w:val="21"/>
          <w:shd w:fill="D6E4F0" w:val="clear"/>
        </w:rPr>
        <w:t>C项错误</w:t>
      </w:r>
    </w:p>
    <w:p>
      <w:pPr>
        <w:spacing w:line="360" w:lineRule="auto" w:after="40"/>
        <w:ind w:firstLine="420"/>
      </w:pPr>
      <w:r>
        <w:t>提交可疑活动报告应当基于对案件事实的分析和与监管指引的比对</w:t>
      </w:r>
      <w:r>
        <w:rPr>
          <w:sz w:val="15"/>
          <w:vertAlign w:val="superscript"/>
        </w:rPr>
        <w:t>P358</w:t>
      </w:r>
      <w:r>
        <w:t>，而非仅仅依据员工报告。题干描述的步骤尚处于收集信息的初始阶段，此时直接提交报告不如先进行交易审查更能满足“基于风险的方法”的要求。</w:t>
      </w:r>
    </w:p>
    <w:p>
      <w:pPr>
        <w:spacing w:before="120" w:after="40"/>
      </w:pPr>
      <w:r>
        <w:rPr>
          <w:b/>
          <w:sz w:val="21"/>
          <w:shd w:fill="D6E4F0" w:val="clear"/>
        </w:rPr>
        <w:t>D项错误</w:t>
      </w:r>
    </w:p>
    <w:p>
      <w:pPr>
        <w:spacing w:line="360" w:lineRule="auto" w:after="40"/>
        <w:ind w:firstLine="420"/>
      </w:pPr>
      <w:r>
        <w:t>直接联系客户询问现金支取原因，可能带来向客户泄露调查信息的风险，且教材在调查步骤中首先强调的是内部信息分析（如交易数据、KYC 信息），而非在未掌握充足事实前即接触客户。题干条件下，内部审查比外部询问更符合调查逻辑的初始顺序。</w:t>
      </w:r>
    </w:p>
    <w:p>
      <w:pPr>
        <w:spacing w:before="120" w:after="40"/>
      </w:pPr>
      <w:r>
        <w:rPr>
          <w:b/>
          <w:sz w:val="21"/>
          <w:shd w:fill="D6E4F0" w:val="clear"/>
        </w:rPr>
        <w:t>易错提醒</w:t>
      </w:r>
    </w:p>
    <w:p>
      <w:pPr>
        <w:spacing w:line="360" w:lineRule="auto" w:after="40"/>
        <w:ind w:firstLine="420"/>
      </w:pPr>
      <w:r>
        <w:t>区分“发现异常活动”与“提交可疑活动报告”：前者触发内部审查，后者须在分析事实并符合监管指引后方可作出（P357-358）。不能将触发调查的源头等同于已经满足提交条件。</w:t>
      </w:r>
    </w:p>
    <w:p>
      <w:pPr>
        <w:spacing w:line="360" w:lineRule="auto" w:after="120"/>
      </w:pPr>
      <w:r/>
    </w:p>
    <w:p>
      <w:pPr>
        <w:spacing w:line="360" w:lineRule="auto" w:after="40"/>
      </w:pPr>
      <w:r>
        <w:t>12. 一名合规官正在处理一起案件，并已确定相关事件无需提交可疑活动报告(SAR)。以下哪两项应包含在案例记录中以证明不提交可疑活动报告(SAR)是合理的？(选择两项。) ( )</w:t>
      </w:r>
    </w:p>
    <w:p>
      <w:pPr>
        <w:spacing w:line="360" w:lineRule="auto" w:after="20"/>
        <w:ind w:firstLine="283"/>
      </w:pPr>
      <w:r>
        <w:t>A. 谁做出了不提交可疑活动报告(SAR)的决定</w:t>
      </w:r>
    </w:p>
    <w:p>
      <w:pPr>
        <w:spacing w:line="360" w:lineRule="auto" w:after="20"/>
        <w:ind w:firstLine="283"/>
      </w:pPr>
      <w:r>
        <w:t>B. 该合规官为何认为此案不值得提交可疑活动报告(SAR)</w:t>
      </w:r>
    </w:p>
    <w:p>
      <w:pPr>
        <w:spacing w:line="360" w:lineRule="auto" w:after="20"/>
        <w:ind w:firstLine="283"/>
      </w:pPr>
      <w:r>
        <w:t>C. 该案件涉及多少金额</w:t>
      </w:r>
    </w:p>
    <w:p>
      <w:pPr>
        <w:spacing w:line="360" w:lineRule="auto" w:after="20"/>
        <w:ind w:firstLine="283"/>
      </w:pPr>
      <w:r>
        <w:t>D. 资金在该机构内的流动情况</w:t>
      </w:r>
    </w:p>
    <w:p>
      <w:pPr>
        <w:spacing w:line="360" w:lineRule="auto" w:after="20"/>
        <w:ind w:firstLine="283"/>
      </w:pPr>
      <w:r>
        <w:t>E. 异常活动发生的时间</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记录不提交SAR的理由与记录提交同等重要</w:t>
      </w:r>
    </w:p>
    <w:p>
      <w:pPr>
        <w:spacing w:before="120" w:after="40"/>
      </w:pPr>
      <w:r>
        <w:rPr>
          <w:b/>
          <w:sz w:val="21"/>
          <w:shd w:fill="D6E4F0" w:val="clear"/>
        </w:rPr>
        <w:t>核心解析</w:t>
      </w:r>
    </w:p>
    <w:p>
      <w:pPr>
        <w:spacing w:line="360" w:lineRule="auto" w:after="40"/>
        <w:ind w:firstLine="420"/>
      </w:pPr>
      <w:r>
        <w:t>记录不提交可疑活动报告（SAR）的理由与记录提交的决定同等重要</w:t>
      </w:r>
      <w:r>
        <w:rPr>
          <w:sz w:val="15"/>
          <w:vertAlign w:val="superscript"/>
        </w:rPr>
        <w:t>P357</w:t>
      </w:r>
      <w:r>
        <w:t>。在决定不提交SAR时，机构应当全面记录调查发现以及做决定的原因</w:t>
      </w:r>
      <w:r>
        <w:rPr>
          <w:sz w:val="15"/>
          <w:vertAlign w:val="superscript"/>
        </w:rPr>
        <w:t>P358</w:t>
      </w:r>
      <w:r>
        <w:t>。题干中，合规官已确定相关事件无需提交SAR，根据教材的这一框架，案例记录中必须包含两项核心信息：一是“谁做出了不提交SAR的决定”（选项A），以明确决策责任归属；二是“合规官为何认为此案不值得提交SAR”（选项B），即决策背后的推理过程和依据。这两者共同构成不提交决定的完整记录，使监管机构能够理解决策的合理性</w:t>
      </w:r>
      <w:r>
        <w:rPr>
          <w:sz w:val="15"/>
          <w:vertAlign w:val="superscript"/>
        </w:rPr>
        <w:t>P358</w:t>
      </w:r>
      <w:r>
        <w:t>，从而满足合规要求。</w:t>
      </w:r>
    </w:p>
    <w:p>
      <w:pPr>
        <w:spacing w:before="120" w:after="40"/>
      </w:pPr>
      <w:r>
        <w:rPr>
          <w:b/>
          <w:sz w:val="21"/>
          <w:shd w:fill="D6E4F0" w:val="clear"/>
        </w:rPr>
        <w:t>C项错误</w:t>
      </w:r>
    </w:p>
    <w:p>
      <w:pPr>
        <w:spacing w:line="360" w:lineRule="auto" w:after="40"/>
        <w:ind w:firstLine="420"/>
      </w:pPr>
      <w:r>
        <w:t>题干的核心问题是“记录中应包含什么来合理化不提交的决定”，而非“调查阶段应关注什么”。金额规模可能是触发审查的一个因素，但在教材关于不提交SAR的文档记录要求中，并未将案件金额列为必须包含的决策佐证要素，相比之下，A项和B项更直接对应教材对决策记录的定义。</w:t>
      </w:r>
    </w:p>
    <w:p>
      <w:pPr>
        <w:spacing w:before="120" w:after="40"/>
      </w:pPr>
      <w:r>
        <w:rPr>
          <w:b/>
          <w:sz w:val="21"/>
          <w:shd w:fill="D6E4F0" w:val="clear"/>
        </w:rPr>
        <w:t>D项错误</w:t>
      </w:r>
    </w:p>
    <w:p>
      <w:pPr>
        <w:spacing w:line="360" w:lineRule="auto" w:after="40"/>
        <w:ind w:firstLine="420"/>
      </w:pPr>
      <w:r>
        <w:t>资金在机构内部的流动路径可以作为分析异常活动的一部分，但在记录“为什么决定不提交”时，真正需要呈现的是基于这些事实得出的判断和推理，而非事实数据本身。教材强调记录的是“the reasoning behind the decision not to file”，而非逐一罗列所有原始调查数据，因此D项的匹配度低于B项。</w:t>
      </w:r>
    </w:p>
    <w:p>
      <w:pPr>
        <w:spacing w:before="120" w:after="40"/>
      </w:pPr>
      <w:r>
        <w:rPr>
          <w:b/>
          <w:sz w:val="21"/>
          <w:shd w:fill="D6E4F0" w:val="clear"/>
        </w:rPr>
        <w:t>E项错误</w:t>
      </w:r>
    </w:p>
    <w:p>
      <w:pPr>
        <w:spacing w:line="360" w:lineRule="auto" w:after="40"/>
        <w:ind w:firstLine="420"/>
      </w:pPr>
      <w:r>
        <w:t>异常活动发生的时间属于触发审查的原始事实。在已决定不提交的前提下，记录的重心是说明“为什么审查后认为不值得提交”，时间信息本身不直接构成决策理由，题干更支持记录决策主体和决策依据，而非所有调查过程中涉及的时间节点。</w:t>
      </w:r>
    </w:p>
    <w:p>
      <w:pPr>
        <w:spacing w:before="120" w:after="40"/>
      </w:pPr>
      <w:r>
        <w:rPr>
          <w:b/>
          <w:sz w:val="21"/>
          <w:shd w:fill="D6E4F0" w:val="clear"/>
        </w:rPr>
        <w:t>易错提醒</w:t>
      </w:r>
    </w:p>
    <w:p>
      <w:pPr>
        <w:spacing w:line="360" w:lineRule="auto" w:after="40"/>
        <w:ind w:firstLine="420"/>
      </w:pPr>
      <w:r>
        <w:t>调查过程中收集的事实数据（金额、时间、资金流动）与支持决策结论的记录内容是不同的。前者是“发现了什么”，后者是“基于发现判断了什么”。教材要求记录的是后者——即分析步骤和决策背后的推理，而非简单复述原始事实。</w:t>
      </w:r>
    </w:p>
    <w:p>
      <w:pPr>
        <w:spacing w:line="360" w:lineRule="auto" w:after="120"/>
      </w:pPr>
      <w:r/>
    </w:p>
    <w:p>
      <w:pPr>
        <w:spacing w:line="360" w:lineRule="auto" w:after="40"/>
      </w:pPr>
      <w:r>
        <w:t>13. 金融机构(FI)在根据内部调查独立决定是否关闭账户时,应考虑以下因素.(选择五项.) ( )</w:t>
      </w:r>
    </w:p>
    <w:p>
      <w:pPr>
        <w:spacing w:line="360" w:lineRule="auto" w:after="20"/>
        <w:ind w:firstLine="283"/>
      </w:pPr>
      <w:r>
        <w:t>A. 声誉风险。</w:t>
      </w:r>
    </w:p>
    <w:p>
      <w:pPr>
        <w:spacing w:line="360" w:lineRule="auto" w:after="20"/>
        <w:ind w:firstLine="283"/>
      </w:pPr>
      <w:r>
        <w:t>B. 客户的个人关系。</w:t>
      </w:r>
    </w:p>
    <w:p>
      <w:pPr>
        <w:spacing w:line="360" w:lineRule="auto" w:after="20"/>
        <w:ind w:firstLine="283"/>
      </w:pPr>
      <w:r>
        <w:t>C. 账户活动的频率。</w:t>
      </w:r>
    </w:p>
    <w:p>
      <w:pPr>
        <w:spacing w:line="360" w:lineRule="auto" w:after="20"/>
        <w:ind w:firstLine="283"/>
      </w:pPr>
      <w:r>
        <w:t>D. 该金融机构的政策和程序。</w:t>
      </w:r>
    </w:p>
    <w:p>
      <w:pPr>
        <w:spacing w:line="360" w:lineRule="auto" w:after="20"/>
        <w:ind w:firstLine="283"/>
      </w:pPr>
      <w:r>
        <w:t>E. 相关行为本身的严重程度。</w:t>
      </w:r>
    </w:p>
    <w:p>
      <w:pPr>
        <w:spacing w:line="360" w:lineRule="auto" w:after="20"/>
        <w:ind w:firstLine="283"/>
      </w:pPr>
      <w:r>
        <w:t>F. 与执法部门的往来信函。</w:t>
      </w:r>
    </w:p>
    <w:p>
      <w:pPr>
        <w:spacing w:line="360" w:lineRule="auto" w:after="20"/>
        <w:ind w:firstLine="283"/>
      </w:pPr>
      <w:r>
        <w:t>G. 关闭账户的法律依据。</w:t>
      </w:r>
    </w:p>
    <w:p>
      <w:pPr>
        <w:spacing w:line="360" w:lineRule="auto" w:after="40"/>
      </w:pPr>
      <w:r>
        <w:t>答案:A、D、E、F、G</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金融机构在内部调查后决定关闭账户时需评估的核心要素</w:t>
      </w:r>
    </w:p>
    <w:p>
      <w:pPr>
        <w:spacing w:before="120" w:after="40"/>
      </w:pPr>
      <w:r>
        <w:rPr>
          <w:b/>
          <w:sz w:val="21"/>
          <w:shd w:fill="D6E4F0" w:val="clear"/>
        </w:rPr>
        <w:t>核心解析</w:t>
      </w:r>
    </w:p>
    <w:p>
      <w:pPr>
        <w:spacing w:line="360" w:lineRule="auto" w:after="40"/>
        <w:ind w:firstLine="420"/>
      </w:pPr>
      <w:r>
        <w:t>决定是否关闭账户的决策应基于机构自身的风险偏好、容忍度以及内部标准和指引</w:t>
      </w:r>
      <w:r>
        <w:rPr>
          <w:sz w:val="15"/>
          <w:vertAlign w:val="superscript"/>
        </w:rPr>
        <w:t>P356</w:t>
      </w:r>
      <w:r>
        <w:t>。由此，必须遵循机构的政策和程序（D，P364）。声誉风险是金融机构风险评估体系的一部分，机构可能因声誉担忧断绝客户关系（A，P365）。相关行为本身的严重程度是逐案分析事实、对照监管指南并做出风险为本决策的基础，严重性因素用于对警报进行优先级排序（E，P444）。执法机构可能通过往来信函要求保持账户开放以协助调查，这直接影响关闭决策（F，P362）。许多司法管辖区还存在法律限制，比如未经客户同意不得终止特定产品，或需批准才能因涉嫌非法活动终止关系，因此必须考虑关闭账户的法律依据（G，P357、P303）。这五项共同构成内部调查后独立判断是否关闭账户时应当考量的核心维度。</w:t>
      </w:r>
    </w:p>
    <w:p>
      <w:pPr>
        <w:spacing w:before="120" w:after="40"/>
      </w:pPr>
      <w:r>
        <w:rPr>
          <w:b/>
          <w:sz w:val="21"/>
          <w:shd w:fill="D6E4F0" w:val="clear"/>
        </w:rPr>
        <w:t>教材原句</w:t>
      </w:r>
    </w:p>
    <w:p>
      <w:pPr>
        <w:spacing w:line="360" w:lineRule="auto" w:after="40"/>
        <w:ind w:firstLine="420"/>
      </w:pPr>
      <w:r>
        <w:t>"The decision is made based on the financial institution’s risk appetite and tolerance, and in accordance with its own standards and guidelines."</w:t>
      </w:r>
    </w:p>
    <w:p>
      <w:pPr>
        <w:spacing w:before="120" w:after="40"/>
      </w:pPr>
      <w:r>
        <w:rPr>
          <w:b/>
          <w:sz w:val="21"/>
          <w:shd w:fill="D6E4F0" w:val="clear"/>
        </w:rPr>
        <w:t>B项错误</w:t>
      </w:r>
    </w:p>
    <w:p>
      <w:pPr>
        <w:spacing w:line="360" w:lineRule="auto" w:after="40"/>
        <w:ind w:firstLine="420"/>
      </w:pPr>
      <w:r>
        <w:t>教材在关闭账户的决策框架中从未将“客户的个人关系”列为考量因素。决定的核心是风险、政策和法律依据，而非客户的人际网络。在教材框架下，该项与题干要求的匹配度远不如正确项。</w:t>
      </w:r>
    </w:p>
    <w:p>
      <w:pPr>
        <w:spacing w:before="120" w:after="40"/>
      </w:pPr>
      <w:r>
        <w:rPr>
          <w:b/>
          <w:sz w:val="21"/>
          <w:shd w:fill="D6E4F0" w:val="clear"/>
        </w:rPr>
        <w:t>C项错误</w:t>
      </w:r>
    </w:p>
    <w:p>
      <w:pPr>
        <w:spacing w:line="360" w:lineRule="auto" w:after="40"/>
        <w:ind w:firstLine="420"/>
      </w:pPr>
      <w:r>
        <w:t>账户活动的频率在教材中属于交易监控和风险预警的输入指标</w:t>
      </w:r>
      <w:r>
        <w:rPr>
          <w:sz w:val="15"/>
          <w:vertAlign w:val="superscript"/>
        </w:rPr>
        <w:t>P138</w:t>
      </w:r>
      <w:r>
        <w:t>，用来判断是否需要进一步调查，但关闭账户这一最终决定更直接取决于行为的严重程度、法律合规性和机构政策，活动频率本身的权重和直接性不如正确项。</w:t>
      </w:r>
    </w:p>
    <w:p>
      <w:pPr>
        <w:spacing w:before="120" w:after="40"/>
      </w:pPr>
      <w:r>
        <w:rPr>
          <w:b/>
          <w:sz w:val="21"/>
          <w:shd w:fill="D6E4F0" w:val="clear"/>
        </w:rPr>
        <w:t>易错提醒</w:t>
      </w:r>
    </w:p>
    <w:p>
      <w:pPr>
        <w:spacing w:line="360" w:lineRule="auto" w:after="40"/>
        <w:ind w:firstLine="420"/>
      </w:pPr>
      <w:r>
        <w:t>容易把触发调查的指标（如账户活动频率）误当成决定关闭账户的因素。前者帮你发现问题，后者帮你做出最终行动判断。</w:t>
      </w:r>
    </w:p>
    <w:p>
      <w:pPr>
        <w:spacing w:line="360" w:lineRule="auto" w:after="120"/>
      </w:pPr>
      <w:r/>
    </w:p>
    <w:p>
      <w:pPr>
        <w:spacing w:line="360" w:lineRule="auto" w:after="40"/>
      </w:pPr>
      <w:r>
        <w:t>14. 根据金融犯罪执法网络(FinCEN)的规定,当金融机构(FI)发现需要提交可疑活动报告(SAR)的可疑活动时,SAR的支持性文件应(选择两项). ( )</w:t>
      </w:r>
    </w:p>
    <w:p>
      <w:pPr>
        <w:spacing w:line="360" w:lineRule="auto" w:after="20"/>
        <w:ind w:firstLine="283"/>
      </w:pPr>
      <w:r>
        <w:t>A. 包括所有协助FI作出该活动需要提交申报这一决定的文件或记录.</w:t>
      </w:r>
    </w:p>
    <w:p>
      <w:pPr>
        <w:spacing w:line="360" w:lineRule="auto" w:after="20"/>
        <w:ind w:firstLine="283"/>
      </w:pPr>
      <w:r>
        <w:t>B. 始终仅限于账户名称、账户详情和交易记录.</w:t>
      </w:r>
    </w:p>
    <w:p>
      <w:pPr>
        <w:spacing w:line="360" w:lineRule="auto" w:after="20"/>
        <w:ind w:firstLine="283"/>
      </w:pPr>
      <w:r>
        <w:t>C. 制定了维护支持性文件的政策和程序.</w:t>
      </w:r>
    </w:p>
    <w:p>
      <w:pPr>
        <w:spacing w:line="360" w:lineRule="auto" w:after="20"/>
        <w:ind w:firstLine="283"/>
      </w:pPr>
      <w:r>
        <w:t>D. 保存在一个单独的文件中,并将纸质副本存放在防火柜里.</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区分SAR支持性文件的实质内容要求与形式/保存要求</w:t>
      </w:r>
    </w:p>
    <w:p>
      <w:pPr>
        <w:spacing w:before="120" w:after="40"/>
      </w:pPr>
      <w:r>
        <w:rPr>
          <w:b/>
          <w:sz w:val="21"/>
          <w:shd w:fill="D6E4F0" w:val="clear"/>
        </w:rPr>
        <w:t>核心解析</w:t>
      </w:r>
    </w:p>
    <w:p>
      <w:pPr>
        <w:spacing w:line="360" w:lineRule="auto" w:after="40"/>
        <w:ind w:firstLine="420"/>
      </w:pPr>
      <w:r>
        <w:t>FinCEN对SAR支持性文件的核心要求是内容完整性与程序规范化。就内容而言，全面记录审查过程和所采取的行动</w:t>
      </w:r>
      <w:r>
        <w:rPr>
          <w:sz w:val="15"/>
          <w:vertAlign w:val="superscript"/>
        </w:rPr>
        <w:t>P358</w:t>
      </w:r>
      <w:r>
        <w:t>，这要求金融机构必须保留所有帮助其做出申报决定的文件或记录（A），而不仅仅是账户信息这类有限数据。就程序而言，为降低调查风险，组织必须建立并维护强有力的政策和程序</w:t>
      </w:r>
      <w:r>
        <w:rPr>
          <w:sz w:val="15"/>
          <w:vertAlign w:val="superscript"/>
        </w:rPr>
        <w:t>P350</w:t>
      </w:r>
      <w:r>
        <w:t>，这自然涵盖对支持性文件的管理制度（C）。这两个要求分别从“文档该包含什么”和“机构该如何管理文档”两个维度构成SAR支持性文件的合规基础。</w:t>
      </w:r>
    </w:p>
    <w:p>
      <w:pPr>
        <w:spacing w:before="120" w:after="40"/>
      </w:pPr>
      <w:r>
        <w:rPr>
          <w:b/>
          <w:sz w:val="21"/>
          <w:shd w:fill="D6E4F0" w:val="clear"/>
        </w:rPr>
        <w:t>B项错误</w:t>
      </w:r>
    </w:p>
    <w:p>
      <w:pPr>
        <w:spacing w:line="360" w:lineRule="auto" w:after="40"/>
        <w:ind w:firstLine="420"/>
      </w:pPr>
      <w:r>
        <w:t>支持性文件的范围远不止账户名称、账户详情和交易记录。教材指出，填写SAR需要收集的信息包括分行员工报告、ATM视频、相关纸质物品图像等</w:t>
      </w:r>
      <w:r>
        <w:rPr>
          <w:sz w:val="15"/>
          <w:vertAlign w:val="superscript"/>
        </w:rPr>
        <w:t>P353</w:t>
      </w:r>
      <w:r>
        <w:t>，且支持性文件本身可以是交易记录或备忘录等形式</w:t>
      </w:r>
      <w:r>
        <w:rPr>
          <w:sz w:val="15"/>
          <w:vertAlign w:val="superscript"/>
        </w:rPr>
        <w:t>P358</w:t>
      </w:r>
      <w:r>
        <w:t>。限定为“仅限于”这三类，不符合教材对支持性文件内容广度的描述。</w:t>
      </w:r>
    </w:p>
    <w:p>
      <w:pPr>
        <w:spacing w:before="120" w:after="40"/>
      </w:pPr>
      <w:r>
        <w:rPr>
          <w:b/>
          <w:sz w:val="21"/>
          <w:shd w:fill="D6E4F0" w:val="clear"/>
        </w:rPr>
        <w:t>D项错误</w:t>
      </w:r>
    </w:p>
    <w:p>
      <w:pPr>
        <w:spacing w:line="360" w:lineRule="auto" w:after="40"/>
        <w:ind w:firstLine="420"/>
      </w:pPr>
      <w:r>
        <w:t>教材要求按照机构的记录保留政策，以PDF、打印件或其他方式保存文档</w:t>
      </w:r>
      <w:r>
        <w:rPr>
          <w:sz w:val="15"/>
          <w:vertAlign w:val="superscript"/>
        </w:rPr>
        <w:t>P345</w:t>
      </w:r>
      <w:r>
        <w:t>，并妥善安全存储以遵守隐私法和数据安全要求</w:t>
      </w:r>
      <w:r>
        <w:rPr>
          <w:sz w:val="15"/>
          <w:vertAlign w:val="superscript"/>
        </w:rPr>
        <w:t>P345</w:t>
      </w:r>
      <w:r>
        <w:t>。教材强调的是“按机构自身政策”和“安全保存”，而非指定必须使用“单独文件”或“防火柜”这种具体形式。D要求的特定物理保存方式在教材中并无依据。</w:t>
      </w:r>
    </w:p>
    <w:p>
      <w:pPr>
        <w:spacing w:before="120" w:after="40"/>
      </w:pPr>
      <w:r>
        <w:rPr>
          <w:b/>
          <w:sz w:val="21"/>
          <w:shd w:fill="D6E4F0" w:val="clear"/>
        </w:rPr>
        <w:t>易错提醒</w:t>
      </w:r>
    </w:p>
    <w:p>
      <w:pPr>
        <w:spacing w:line="360" w:lineRule="auto" w:after="40"/>
        <w:ind w:firstLine="420"/>
      </w:pPr>
      <w:r>
        <w:t>注意“支持性文件的内涵”与“保存支持性文件的形式”是不同维度的要求。教材规定“记录什么”（全面记录审查过程和行动，P358）和“按机构政策如何保存”</w:t>
      </w:r>
      <w:r>
        <w:rPr>
          <w:sz w:val="15"/>
          <w:vertAlign w:val="superscript"/>
        </w:rPr>
        <w:t>P345</w:t>
      </w:r>
      <w:r>
        <w:t>，但并未指定具体的物理存储介质或位置。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