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CH09</w:t>
      </w:r>
    </w:p>
    <w:p>
      <w:pPr>
        <w:spacing w:line="360" w:lineRule="auto" w:after="160"/>
      </w:pPr>
      <w:r>
        <w:t>一、单项选择题</w:t>
      </w:r>
    </w:p>
    <w:p>
      <w:pPr>
        <w:spacing w:line="360" w:lineRule="auto" w:after="40"/>
      </w:pPr>
      <w:r>
        <w:t>1. 一名反洗钱合规官收到了一份独立审计报告，其中包含若干发现。对这份报告的恰当回应应包括: ( )</w:t>
      </w:r>
    </w:p>
    <w:p>
      <w:pPr>
        <w:spacing w:line="360" w:lineRule="auto" w:after="20"/>
        <w:ind w:firstLine="283"/>
      </w:pPr>
      <w:r>
        <w:t>A. 为审计团队起草详细的行动计划，以落实整改意见</w:t>
      </w:r>
    </w:p>
    <w:p>
      <w:pPr>
        <w:spacing w:line="360" w:lineRule="auto" w:after="20"/>
        <w:ind w:firstLine="283"/>
      </w:pPr>
      <w:r>
        <w:t>B. 重新对审计发现中提及的控制措施进行测试，以确认审计结果</w:t>
      </w:r>
    </w:p>
    <w:p>
      <w:pPr>
        <w:spacing w:line="360" w:lineRule="auto" w:after="20"/>
        <w:ind w:firstLine="283"/>
      </w:pPr>
      <w:r>
        <w:t>C. 根据调查结果的根本原因分析来确定补救措施</w:t>
      </w:r>
    </w:p>
    <w:p>
      <w:pPr>
        <w:spacing w:line="360" w:lineRule="auto" w:after="20"/>
        <w:ind w:firstLine="283"/>
      </w:pPr>
      <w:r>
        <w:t>D. 将审查行动计划的责任分配给董事会</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审计发现后应通过根本原因分析制定补救措施</w:t>
      </w:r>
    </w:p>
    <w:p>
      <w:pPr>
        <w:spacing w:before="120" w:after="40"/>
      </w:pPr>
      <w:r>
        <w:rPr>
          <w:b/>
          <w:sz w:val="21"/>
          <w:shd w:fill="D6E4F0" w:val="clear"/>
        </w:rPr>
        <w:t>核心解析</w:t>
      </w:r>
    </w:p>
    <w:p>
      <w:pPr>
        <w:spacing w:line="360" w:lineRule="auto" w:after="40"/>
        <w:ind w:firstLine="420"/>
      </w:pPr>
      <w:r>
        <w:t>组织必须分析并纠正错误的根本原因以避免再次发生</w:t>
      </w:r>
      <w:r>
        <w:rPr>
          <w:sz w:val="15"/>
          <w:vertAlign w:val="superscript"/>
        </w:rPr>
        <w:t>P279</w:t>
      </w:r>
      <w:r>
        <w:t>。同时，制定纠正行动计划、报告进展并加强金融犯罪防控框架，防止问题再次发生</w:t>
      </w:r>
      <w:r>
        <w:rPr>
          <w:sz w:val="15"/>
          <w:vertAlign w:val="superscript"/>
        </w:rPr>
        <w:t>P299</w:t>
      </w:r>
      <w:r>
        <w:t>。审计后持续沟通有助于制定行动计划，反洗钱合规团队可及时实施改进</w:t>
      </w:r>
      <w:r>
        <w:rPr>
          <w:sz w:val="15"/>
          <w:vertAlign w:val="superscript"/>
        </w:rPr>
        <w:t>P258</w:t>
      </w:r>
      <w:r>
        <w:t>。题干中合规官收到独立审计报告包含若干发现，恰当回应应直接针对发现本身，通过根本原因分析确定补救措施，这符合教材对审计后响应流程的标准定义。由此可推断，C选项最直接匹配“收到审计发现→分析根因→确定补救措施”这一闭环。</w:t>
      </w:r>
    </w:p>
    <w:p>
      <w:pPr>
        <w:spacing w:before="120" w:after="40"/>
      </w:pPr>
      <w:r>
        <w:rPr>
          <w:b/>
          <w:sz w:val="21"/>
          <w:shd w:fill="D6E4F0" w:val="clear"/>
        </w:rPr>
        <w:t>教材原句</w:t>
      </w:r>
    </w:p>
    <w:p>
      <w:pPr>
        <w:spacing w:line="360" w:lineRule="auto" w:after="40"/>
        <w:ind w:firstLine="420"/>
      </w:pPr>
      <w:r>
        <w:t>"The organization must analyze and correct the root cause of the error to avoid recurrence."</w:t>
      </w:r>
    </w:p>
    <w:p>
      <w:pPr>
        <w:spacing w:before="120" w:after="40"/>
      </w:pPr>
      <w:r>
        <w:rPr>
          <w:b/>
          <w:sz w:val="21"/>
          <w:shd w:fill="D6E4F0" w:val="clear"/>
        </w:rPr>
        <w:t>A项错误</w:t>
      </w:r>
    </w:p>
    <w:p>
      <w:pPr>
        <w:spacing w:line="360" w:lineRule="auto" w:after="40"/>
        <w:ind w:firstLine="420"/>
      </w:pPr>
      <w:r>
        <w:t>教材指出审计后持续沟通有助于制定行动计划，但应由反洗钱合规团队负责实施改进，而非为审计团队起草计划</w:t>
      </w:r>
      <w:r>
        <w:rPr>
          <w:sz w:val="15"/>
          <w:vertAlign w:val="superscript"/>
        </w:rPr>
        <w:t>P258</w:t>
      </w:r>
      <w:r>
        <w:t>。独立审计职能负责验证和确认，不承担执行整改的角色，因此A选项不如C选项直接匹配对审计发现的响应主体和流程。</w:t>
      </w:r>
    </w:p>
    <w:p>
      <w:pPr>
        <w:spacing w:before="120" w:after="40"/>
      </w:pPr>
      <w:r>
        <w:rPr>
          <w:b/>
          <w:sz w:val="21"/>
          <w:shd w:fill="D6E4F0" w:val="clear"/>
        </w:rPr>
        <w:t>B项错误</w:t>
      </w:r>
    </w:p>
    <w:p>
      <w:pPr>
        <w:spacing w:line="360" w:lineRule="auto" w:after="40"/>
        <w:ind w:firstLine="420"/>
      </w:pPr>
      <w:r>
        <w:t>教材强调组织必须分析并纠正根本原因以避免再次发生</w:t>
      </w:r>
      <w:r>
        <w:rPr>
          <w:sz w:val="15"/>
          <w:vertAlign w:val="superscript"/>
        </w:rPr>
        <w:t>P279</w:t>
      </w:r>
      <w:r>
        <w:t>，合规测试职能可进行定期质量保证审查，但收到审计报告后应聚焦补救而非重新测试确认。B选项混淆了响应阶段，题干条件更支持先分析根因并制定补救措施，而非质疑已完成审计的结果。</w:t>
      </w:r>
    </w:p>
    <w:p>
      <w:pPr>
        <w:spacing w:before="120" w:after="40"/>
      </w:pPr>
      <w:r>
        <w:rPr>
          <w:b/>
          <w:sz w:val="21"/>
          <w:shd w:fill="D6E4F0" w:val="clear"/>
        </w:rPr>
        <w:t>D项错误</w:t>
      </w:r>
    </w:p>
    <w:p>
      <w:pPr>
        <w:spacing w:line="360" w:lineRule="auto" w:after="40"/>
        <w:ind w:firstLine="420"/>
      </w:pPr>
      <w:r>
        <w:t>董事会对合规计划承担最终责任并监督有效性</w:t>
      </w:r>
      <w:r>
        <w:rPr>
          <w:sz w:val="15"/>
          <w:vertAlign w:val="superscript"/>
        </w:rPr>
        <w:t>P264</w:t>
      </w:r>
      <w:r>
        <w:t>，审查行动计划是董事会监督职能的一部分，但教材将审计后的直接响应定位为制定纠正行动计划</w:t>
      </w:r>
      <w:r>
        <w:rPr>
          <w:sz w:val="15"/>
          <w:vertAlign w:val="superscript"/>
        </w:rPr>
        <w:t>P299</w:t>
      </w:r>
      <w:r>
        <w:t>。将审查责任分配给董事会是治理安排，不如C选项直接对应审计发现后的即时补救措施。</w:t>
      </w:r>
    </w:p>
    <w:p>
      <w:pPr>
        <w:spacing w:before="120" w:after="40"/>
      </w:pPr>
      <w:r>
        <w:rPr>
          <w:b/>
          <w:sz w:val="21"/>
          <w:shd w:fill="D6E4F0" w:val="clear"/>
        </w:rPr>
        <w:t>易错提醒</w:t>
      </w:r>
    </w:p>
    <w:p>
      <w:pPr>
        <w:spacing w:line="360" w:lineRule="auto" w:after="40"/>
        <w:ind w:firstLine="420"/>
      </w:pPr>
      <w:r>
        <w:t>区分“审计发现后应做什么”：教材要求分析根本原因并纠正</w:t>
      </w:r>
      <w:r>
        <w:rPr>
          <w:sz w:val="15"/>
          <w:vertAlign w:val="superscript"/>
        </w:rPr>
        <w:t>P279</w:t>
      </w:r>
      <w:r>
        <w:t>，而非重新测试控制以确认审计结果。审计是独立验证职能，其发现应被接受并转化为补救行动，避免陷入质疑循环。</w:t>
      </w:r>
    </w:p>
    <w:p>
      <w:pPr>
        <w:spacing w:line="360" w:lineRule="auto" w:after="120"/>
      </w:pPr>
      <w:r/>
    </w:p>
    <w:p>
      <w:pPr>
        <w:spacing w:line="360" w:lineRule="auto" w:after="40"/>
      </w:pPr>
      <w:r>
        <w:t>2. 一家金融机构正在进行全企业范围的风险评估（EWRA），发现其私人银行部门存在较高的固有洗钱风险，原因是客户资产净值高且财务结构复杂。不过，该机构已实施严格的客户尽职调查（CDD）和强化尽职调查（EDD）程序，并配备先进的交易监控系统。这些控制措施会如何影响剩余风险的评估？ ( )</w:t>
      </w:r>
    </w:p>
    <w:p>
      <w:pPr>
        <w:spacing w:line="360" w:lineRule="auto" w:after="20"/>
        <w:ind w:firstLine="283"/>
      </w:pPr>
      <w:r>
        <w:t>A. 由于现有控制措施的有效性，剩余风险将显著降低。</w:t>
      </w:r>
    </w:p>
    <w:p>
      <w:pPr>
        <w:spacing w:line="360" w:lineRule="auto" w:after="20"/>
        <w:ind w:firstLine="283"/>
      </w:pPr>
      <w:r>
        <w:t>B. 剩余风险会适度降低，但可能仍需进一步采取控制措施才能达到可接受的水平。</w:t>
      </w:r>
    </w:p>
    <w:p>
      <w:pPr>
        <w:spacing w:line="360" w:lineRule="auto" w:after="20"/>
        <w:ind w:firstLine="283"/>
      </w:pPr>
      <w:r>
        <w:t>C. 由于私人银行业务的固有性质，剩余风险仍将居高不下。</w:t>
      </w:r>
    </w:p>
    <w:p>
      <w:pPr>
        <w:spacing w:line="360" w:lineRule="auto" w:after="20"/>
        <w:ind w:firstLine="283"/>
      </w:pPr>
      <w:r>
        <w:t>D. 剩余风险将被完全消除，因为这些控制措施会降低所有潜在风险。</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根据固有风险与控制有效性计算剩余风险</w:t>
      </w:r>
    </w:p>
    <w:p>
      <w:pPr>
        <w:spacing w:before="120" w:after="40"/>
      </w:pPr>
      <w:r>
        <w:rPr>
          <w:b/>
          <w:sz w:val="21"/>
          <w:shd w:fill="D6E4F0" w:val="clear"/>
        </w:rPr>
        <w:t>核心解析</w:t>
      </w:r>
    </w:p>
    <w:p>
      <w:pPr>
        <w:spacing w:line="360" w:lineRule="auto" w:after="40"/>
        <w:ind w:firstLine="420"/>
      </w:pPr>
      <w:r>
        <w:t>剩余风险由固有风险减去控制有效性得出</w:t>
      </w:r>
      <w:r>
        <w:rPr>
          <w:sz w:val="15"/>
          <w:vertAlign w:val="superscript"/>
        </w:rPr>
        <w:t>P278</w:t>
      </w:r>
      <w:r>
        <w:t>。题干中，私人银行部门固有风险高，但机构已实施严格的CDD、EDD及交易监控措施，这些控制能降低风险，但降幅取决于控制的实际有效性。教材进一步说明，控制措施须经设计和运行有效性评估（P278-279），且识别固有风险后应将其降至可接受水平</w:t>
      </w:r>
      <w:r>
        <w:rPr>
          <w:sz w:val="15"/>
          <w:vertAlign w:val="superscript"/>
        </w:rPr>
        <w:t>P278</w:t>
      </w:r>
      <w:r>
        <w:t>。题干未提及这些控制已被评估为完全有效，因此剩余风险不会被消除或显著压低，而会更可能出现适度降低，并可能需要额外控制才能达到可接受水平——这正是选项B的逻辑。</w:t>
      </w:r>
    </w:p>
    <w:p>
      <w:pPr>
        <w:spacing w:before="120" w:after="40"/>
      </w:pPr>
      <w:r>
        <w:rPr>
          <w:b/>
          <w:sz w:val="21"/>
          <w:shd w:fill="D6E4F0" w:val="clear"/>
        </w:rPr>
        <w:t>教材原句</w:t>
      </w:r>
    </w:p>
    <w:p>
      <w:pPr>
        <w:spacing w:line="360" w:lineRule="auto" w:after="40"/>
        <w:ind w:firstLine="420"/>
      </w:pPr>
      <w:r>
        <w:t>"The formula for calculating residual risk is: inherent risk minus control effectiveness equals residual risk (inherent risk – control effectiveness = residual risk)."</w:t>
      </w:r>
    </w:p>
    <w:p>
      <w:pPr>
        <w:spacing w:before="120" w:after="40"/>
      </w:pPr>
      <w:r>
        <w:rPr>
          <w:b/>
          <w:sz w:val="21"/>
          <w:shd w:fill="D6E4F0" w:val="clear"/>
        </w:rPr>
        <w:t>A项错误</w:t>
      </w:r>
    </w:p>
    <w:p>
      <w:pPr>
        <w:spacing w:line="360" w:lineRule="auto" w:after="40"/>
        <w:ind w:firstLine="420"/>
      </w:pPr>
      <w:r>
        <w:t>选项A假定现有控制已“显著降低”剩余风险，但题干只表明控制措施已实施，并未提供其设计或运行有效性的评估结果。教材要求从设计和运行两方面评估控制有效性，并警惕因误判控制强度而错误压低剩余风险</w:t>
      </w:r>
      <w:r>
        <w:rPr>
          <w:sz w:val="15"/>
          <w:vertAlign w:val="superscript"/>
        </w:rPr>
        <w:t>P280</w:t>
      </w:r>
      <w:r>
        <w:t>，因此“显著降低”的结论不如“适度降低”审慎，匹配度较低。</w:t>
      </w:r>
    </w:p>
    <w:p>
      <w:pPr>
        <w:spacing w:before="120" w:after="40"/>
      </w:pPr>
      <w:r>
        <w:rPr>
          <w:b/>
          <w:sz w:val="21"/>
          <w:shd w:fill="D6E4F0" w:val="clear"/>
        </w:rPr>
        <w:t>C项错误</w:t>
      </w:r>
    </w:p>
    <w:p>
      <w:pPr>
        <w:spacing w:line="360" w:lineRule="auto" w:after="40"/>
        <w:ind w:firstLine="420"/>
      </w:pPr>
      <w:r>
        <w:t>选项C完全以固有风险的性质推演剩余风险，忽视了控制措施已实施这一关键事实。教材指出控制措施旨在将固有风险降至与机构风险偏好一致的水平</w:t>
      </w:r>
      <w:r>
        <w:rPr>
          <w:sz w:val="15"/>
          <w:vertAlign w:val="superscript"/>
        </w:rPr>
        <w:t>P278</w:t>
      </w:r>
      <w:r>
        <w:t>，题干中CDD/EDD等控制的存在意味着剩余风险不会与固有风险等量齐观，因此C的匹配度低于B。</w:t>
      </w:r>
    </w:p>
    <w:p>
      <w:pPr>
        <w:spacing w:before="120" w:after="40"/>
      </w:pPr>
      <w:r>
        <w:rPr>
          <w:b/>
          <w:sz w:val="21"/>
          <w:shd w:fill="D6E4F0" w:val="clear"/>
        </w:rPr>
        <w:t>D项错误</w:t>
      </w:r>
    </w:p>
    <w:p>
      <w:pPr>
        <w:spacing w:line="360" w:lineRule="auto" w:after="40"/>
        <w:ind w:firstLine="420"/>
      </w:pPr>
      <w:r>
        <w:t>选项D称剩余风险“完全消除”，违背剩余风险的基本概念——控制措施只能降低风险，无法消除所有潜在风险。教材案例亦显示即使控制有效，剩余风险也只是降至中低水平</w:t>
      </w:r>
      <w:r>
        <w:rPr>
          <w:sz w:val="15"/>
          <w:vertAlign w:val="superscript"/>
        </w:rPr>
        <w:t>P278</w:t>
      </w:r>
      <w:r>
        <w:t>，可见D的匹配度最弱。</w:t>
      </w:r>
    </w:p>
    <w:p>
      <w:pPr>
        <w:spacing w:before="120" w:after="40"/>
      </w:pPr>
      <w:r>
        <w:rPr>
          <w:b/>
          <w:sz w:val="21"/>
          <w:shd w:fill="D6E4F0" w:val="clear"/>
        </w:rPr>
        <w:t>易错提醒</w:t>
      </w:r>
    </w:p>
    <w:p>
      <w:pPr>
        <w:spacing w:line="360" w:lineRule="auto" w:after="40"/>
        <w:ind w:firstLine="420"/>
      </w:pPr>
      <w:r>
        <w:t>注意区分“固有风险”与“剩余风险”：固有风险是未考虑控制时的风险水平（本题中私人银行客户高净值、结构复杂导致的高固有风险），剩余风险是应用控制后的风险水平（剩余风险 = 固有风险 − 控制有效性）。控制措施能降低风险，但无法完全消除风险，因此剩余风险不会是零。</w:t>
      </w:r>
    </w:p>
    <w:p>
      <w:pPr>
        <w:spacing w:line="360" w:lineRule="auto" w:after="120"/>
      </w:pPr>
      <w:r/>
    </w:p>
    <w:p>
      <w:pPr>
        <w:spacing w:line="360" w:lineRule="auto" w:after="40"/>
      </w:pPr>
      <w:r>
        <w:t>3. 一位反洗钱合规官正在起草计划，以解决独立审计中发现的缺陷。哪种方法是最佳选择？ ( )</w:t>
      </w:r>
    </w:p>
    <w:p>
      <w:pPr>
        <w:spacing w:line="360" w:lineRule="auto" w:after="20"/>
        <w:ind w:firstLine="283"/>
      </w:pPr>
      <w:r>
        <w:t>A. 只承诺实施那些无需新增投资即可实现股东价值最大化的行动计划</w:t>
      </w:r>
    </w:p>
    <w:p>
      <w:pPr>
        <w:spacing w:line="360" w:lineRule="auto" w:after="20"/>
        <w:ind w:firstLine="283"/>
      </w:pPr>
      <w:r>
        <w:t>B. 与所在辖区的金融情报机构协商起草行动计划，以与其他类似公司保持一致</w:t>
      </w:r>
    </w:p>
    <w:p>
      <w:pPr>
        <w:spacing w:line="360" w:lineRule="auto" w:after="20"/>
        <w:ind w:firstLine="283"/>
      </w:pPr>
      <w:r>
        <w:t>C. 只承诺在三个月的管理报告周期内能够实施并完成的行动计划</w:t>
      </w:r>
    </w:p>
    <w:p>
      <w:pPr>
        <w:spacing w:line="360" w:lineRule="auto" w:after="20"/>
        <w:ind w:firstLine="283"/>
      </w:pPr>
      <w:r>
        <w:t>D. 起草行动计划以解决缺陷的根本原因，无论全面实施这些计划需要多长时间</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纠正行动计划须解决根本原因以防复发</w:t>
      </w:r>
    </w:p>
    <w:p>
      <w:pPr>
        <w:spacing w:before="120" w:after="40"/>
      </w:pPr>
      <w:r>
        <w:rPr>
          <w:b/>
          <w:sz w:val="21"/>
          <w:shd w:fill="D6E4F0" w:val="clear"/>
        </w:rPr>
        <w:t>核心解析</w:t>
      </w:r>
    </w:p>
    <w:p>
      <w:pPr>
        <w:spacing w:line="360" w:lineRule="auto" w:after="40"/>
        <w:ind w:firstLine="420"/>
      </w:pPr>
      <w:r>
        <w:t>对于审计发现的缺陷，教材要求组织必须分析并纠正错误的根本原因以避免再次发生</w:t>
      </w:r>
      <w:r>
        <w:rPr>
          <w:sz w:val="15"/>
          <w:vertAlign w:val="superscript"/>
        </w:rPr>
        <w:t>P279</w:t>
      </w:r>
      <w:r>
        <w:t>，并制定纠正行动计划、报告进展、加强金融犯罪防控框架，防止问题重复出现</w:t>
      </w:r>
      <w:r>
        <w:rPr>
          <w:sz w:val="15"/>
          <w:vertAlign w:val="superscript"/>
        </w:rPr>
        <w:t>P299</w:t>
      </w:r>
      <w:r>
        <w:t>。题干中合规官要解决独立审计发现的缺陷，最佳方法就是起草直指根本原因的行动计划，而不应被实施周期等条件限制，因此选项D直接吻合这一原则。</w:t>
      </w:r>
    </w:p>
    <w:p>
      <w:pPr>
        <w:spacing w:before="120" w:after="40"/>
      </w:pPr>
      <w:r>
        <w:rPr>
          <w:b/>
          <w:sz w:val="21"/>
          <w:shd w:fill="D6E4F0" w:val="clear"/>
        </w:rPr>
        <w:t>教材原句</w:t>
      </w:r>
    </w:p>
    <w:p>
      <w:pPr>
        <w:spacing w:line="360" w:lineRule="auto" w:after="40"/>
        <w:ind w:firstLine="420"/>
      </w:pPr>
      <w:r>
        <w:t>"The organization must analyze and correct the root cause of the error to avoid recurrence."</w:t>
      </w:r>
    </w:p>
    <w:p>
      <w:pPr>
        <w:spacing w:before="120" w:after="40"/>
      </w:pPr>
      <w:r>
        <w:rPr>
          <w:b/>
          <w:sz w:val="21"/>
          <w:shd w:fill="D6E4F0" w:val="clear"/>
        </w:rPr>
        <w:t>A项错误</w:t>
      </w:r>
    </w:p>
    <w:p>
      <w:pPr>
        <w:spacing w:line="360" w:lineRule="auto" w:after="40"/>
        <w:ind w:firstLine="420"/>
      </w:pPr>
      <w:r>
        <w:t>教材对纠正行动的要求以消除缺陷根源为优先，而非由是否需新增投资或能否最大化股东价值决定。题干情形更直接匹配以根本原因为导向的计划，而非仅挑选无成本负担的措施。</w:t>
      </w:r>
    </w:p>
    <w:p>
      <w:pPr>
        <w:spacing w:before="120" w:after="40"/>
      </w:pPr>
      <w:r>
        <w:rPr>
          <w:b/>
          <w:sz w:val="21"/>
          <w:shd w:fill="D6E4F0" w:val="clear"/>
        </w:rPr>
        <w:t>B项错误</w:t>
      </w:r>
    </w:p>
    <w:p>
      <w:pPr>
        <w:spacing w:line="360" w:lineRule="auto" w:after="40"/>
        <w:ind w:firstLine="420"/>
      </w:pPr>
      <w:r>
        <w:t>金融情报机构的核心职能是接收和分析可疑交易报告，并非为个别机构的内部纠正行动计划提供咨询。行动计划的制定应基于机构自身的缺陷根因，与同行保持一致不是教材强调的重点，相比之下不如直接针对根本原因的计划更匹配。</w:t>
      </w:r>
    </w:p>
    <w:p>
      <w:pPr>
        <w:spacing w:before="120" w:after="40"/>
      </w:pPr>
      <w:r>
        <w:rPr>
          <w:b/>
          <w:sz w:val="21"/>
          <w:shd w:fill="D6E4F0" w:val="clear"/>
        </w:rPr>
        <w:t>C项错误</w:t>
      </w:r>
    </w:p>
    <w:p>
      <w:pPr>
        <w:spacing w:line="360" w:lineRule="auto" w:after="40"/>
        <w:ind w:firstLine="420"/>
      </w:pPr>
      <w:r>
        <w:t>纠正行动的时间安排应服务于彻底解决缺陷，而非受限于三个月的管理报告周期。教材未对纠正计划设定期限，反而强调根本原因分析和长效防控，三个月限制可能无法充分处理深层问题，因此不如无时限的根本原因方案更贴合教材框架。</w:t>
      </w:r>
    </w:p>
    <w:p>
      <w:pPr>
        <w:spacing w:before="120" w:after="40"/>
      </w:pPr>
      <w:r>
        <w:rPr>
          <w:b/>
          <w:sz w:val="21"/>
          <w:shd w:fill="D6E4F0" w:val="clear"/>
        </w:rPr>
        <w:t>易错提醒</w:t>
      </w:r>
    </w:p>
    <w:p>
      <w:pPr>
        <w:spacing w:line="360" w:lineRule="auto" w:after="40"/>
        <w:ind w:firstLine="420"/>
      </w:pPr>
      <w:r>
        <w:t>纠正行动计划着眼于根本原因和长效防控，不能混同于用短期时限（如三个月）或成本门槛筛选措施的日常管理行为。教材明确要求分析并纠正根本原因以避免复发</w:t>
      </w:r>
      <w:r>
        <w:rPr>
          <w:sz w:val="15"/>
          <w:vertAlign w:val="superscript"/>
        </w:rPr>
        <w:t>P279</w:t>
      </w:r>
      <w:r>
        <w:t>。</w:t>
      </w:r>
    </w:p>
    <w:p>
      <w:pPr>
        <w:spacing w:line="360" w:lineRule="auto" w:after="120"/>
      </w:pPr>
      <w:r/>
    </w:p>
    <w:p>
      <w:pPr>
        <w:spacing w:line="360" w:lineRule="auto" w:after="40"/>
      </w:pPr>
      <w:r>
        <w:t>4. 一家银行的客户顾问联系合规团队的一名成员,寻求指导如何处理一位客户希望将出售加密资产所得的25万美元转入其在该银行的储蓄账户一事.合规团队应当提供哪些指导？ ( )</w:t>
      </w:r>
    </w:p>
    <w:p>
      <w:pPr>
        <w:spacing w:line="360" w:lineRule="auto" w:after="20"/>
        <w:ind w:firstLine="283"/>
      </w:pPr>
      <w:r>
        <w:t>A. 建议进一步澄清相关情况，包括出售的是哪些加密货币或代币，以及该加密货币交易所是否对其客户进行尽职调查</w:t>
      </w:r>
    </w:p>
    <w:p>
      <w:pPr>
        <w:spacing w:line="360" w:lineRule="auto" w:after="20"/>
        <w:ind w:firstLine="283"/>
      </w:pPr>
      <w:r>
        <w:t>B. 建议停止该交易，因为加密资产总体上不受监管，其性质决定了会给银行带来不可接受的反洗钱风险</w:t>
      </w:r>
    </w:p>
    <w:p>
      <w:pPr>
        <w:spacing w:line="360" w:lineRule="auto" w:after="20"/>
        <w:ind w:firstLine="283"/>
      </w:pPr>
      <w:r>
        <w:t>C. 向顾问确认，如果客户的KYC（了解您的客户）信息是最新的，并且在公共区块链浏览器上进行搜索未发现任何负面媒体报道，客户可以继续进行交易</w:t>
      </w:r>
    </w:p>
    <w:p>
      <w:pPr>
        <w:spacing w:line="360" w:lineRule="auto" w:after="20"/>
        <w:ind w:firstLine="283"/>
      </w:pPr>
      <w:r>
        <w:t>D. 向顾问确认客户可以进行交易，因为客户已正确完成KYC（了解您的客户）流程</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处理加密资产入金时需获取交易所尽调信息以评估风险</w:t>
      </w:r>
    </w:p>
    <w:p>
      <w:pPr>
        <w:spacing w:before="120" w:after="40"/>
      </w:pPr>
      <w:r>
        <w:rPr>
          <w:b/>
          <w:sz w:val="21"/>
          <w:shd w:fill="D6E4F0" w:val="clear"/>
        </w:rPr>
        <w:t>核心解析</w:t>
      </w:r>
    </w:p>
    <w:p>
      <w:pPr>
        <w:spacing w:line="360" w:lineRule="auto" w:after="40"/>
        <w:ind w:firstLine="420"/>
      </w:pPr>
      <w:r>
        <w:t>加密资产因假名性、跨境可达性及监管缺失，带来重大洗钱风险</w:t>
      </w:r>
      <w:r>
        <w:rPr>
          <w:sz w:val="15"/>
          <w:vertAlign w:val="superscript"/>
        </w:rPr>
        <w:t>P112</w:t>
      </w:r>
      <w:r>
        <w:t>。银行在客户转入加密资产所得时，必须评估剩余风险是否在可接受范围内，而评估的前提是获取足够的信息。教材举例说明，当金融机构有客户向高风险地区的加密资产服务商转账且无额外控制时，剩余风险高，机构需制定控制措施</w:t>
      </w:r>
      <w:r>
        <w:rPr>
          <w:sz w:val="15"/>
          <w:vertAlign w:val="superscript"/>
        </w:rPr>
        <w:t>P279</w:t>
      </w:r>
      <w:r>
        <w:t>。本题中，合规团队面对客户转卖币所得的请求，既不知道卖的是什么币（不同代币风险各异，P112），也不知道交易所是否对客户做过尽职调查——这是判断资金链路透明度和交易对手风险的关键。因此，建议“进一步澄清”这些关键信息，是评估剩余风险、决定下一步行动（放行、禁止或增强监控）的必要前置步骤，最符合教材展示的风险评估方法。</w:t>
      </w:r>
    </w:p>
    <w:p>
      <w:pPr>
        <w:spacing w:before="120" w:after="40"/>
      </w:pPr>
      <w:r>
        <w:rPr>
          <w:b/>
          <w:sz w:val="21"/>
          <w:shd w:fill="D6E4F0" w:val="clear"/>
        </w:rPr>
        <w:t>B项错误</w:t>
      </w:r>
    </w:p>
    <w:p>
      <w:pPr>
        <w:spacing w:line="360" w:lineRule="auto" w:after="40"/>
        <w:ind w:firstLine="420"/>
      </w:pPr>
      <w:r>
        <w:t>加密资产并非“总体上不受监管”，部分实体（如与美国客户交易的加密货币公司）须遵守《银行保密法》</w:t>
      </w:r>
      <w:r>
        <w:rPr>
          <w:sz w:val="15"/>
          <w:vertAlign w:val="superscript"/>
        </w:rPr>
        <w:t>P181</w:t>
      </w:r>
      <w:r>
        <w:t>，且银行可采用禁止与未注册商交易、增强监控等控制措施来管理风险而非一律拒绝</w:t>
      </w:r>
      <w:r>
        <w:rPr>
          <w:sz w:val="15"/>
          <w:vertAlign w:val="superscript"/>
        </w:rPr>
        <w:t>P279</w:t>
      </w:r>
      <w:r>
        <w:t>。直接停止交易的做法过于绝对，不如A项先求澄清再判断更符合风险为本的原则。</w:t>
      </w:r>
    </w:p>
    <w:p>
      <w:pPr>
        <w:spacing w:before="120" w:after="40"/>
      </w:pPr>
      <w:r>
        <w:rPr>
          <w:b/>
          <w:sz w:val="21"/>
          <w:shd w:fill="D6E4F0" w:val="clear"/>
        </w:rPr>
        <w:t>C项错误</w:t>
      </w:r>
    </w:p>
    <w:p>
      <w:pPr>
        <w:spacing w:line="360" w:lineRule="auto" w:after="40"/>
        <w:ind w:firstLine="420"/>
      </w:pPr>
      <w:r>
        <w:t>该选项给出的放行条件不够充分。教材指出，第三方区块链浏览器可能呈现虚假信息</w:t>
      </w:r>
      <w:r>
        <w:rPr>
          <w:sz w:val="15"/>
          <w:vertAlign w:val="superscript"/>
        </w:rPr>
        <w:t>P486</w:t>
      </w:r>
      <w:r>
        <w:t>，单纯在一次公开浏览器上搜索未发现负面新闻，不能作为风险可控的可靠依据。相比之下，A项直接获取交易所尽调情况，是在更上游、更直接地验证资金来源与交易对手的合规性。</w:t>
      </w:r>
    </w:p>
    <w:p>
      <w:pPr>
        <w:spacing w:before="120" w:after="40"/>
      </w:pPr>
      <w:r>
        <w:rPr>
          <w:b/>
          <w:sz w:val="21"/>
          <w:shd w:fill="D6E4F0" w:val="clear"/>
        </w:rPr>
        <w:t>D项错误</w:t>
      </w:r>
    </w:p>
    <w:p>
      <w:pPr>
        <w:spacing w:line="360" w:lineRule="auto" w:after="40"/>
        <w:ind w:firstLine="420"/>
      </w:pPr>
      <w:r>
        <w:t>客户完成常规KYC流程，仅建立了其身份与风险画像的基线。向银行转入大额加密资产销售款属于“触发事件”，教材要求在此时进行触发事件审查，依据客户信息变化、异常交易等重新评估风险</w:t>
      </w:r>
      <w:r>
        <w:rPr>
          <w:sz w:val="15"/>
          <w:vertAlign w:val="superscript"/>
        </w:rPr>
        <w:t>P358</w:t>
      </w:r>
      <w:r>
        <w:t>。仅凭KYC便确认可交易，忽视了加密资产交易本身带来的新增风险，不如A项主动收集增量信息来得审慎。</w:t>
      </w:r>
    </w:p>
    <w:p>
      <w:pPr>
        <w:spacing w:before="120" w:after="40"/>
      </w:pPr>
      <w:r>
        <w:rPr>
          <w:b/>
          <w:sz w:val="21"/>
          <w:shd w:fill="D6E4F0" w:val="clear"/>
        </w:rPr>
        <w:t>易错提醒</w:t>
      </w:r>
    </w:p>
    <w:p>
      <w:pPr>
        <w:spacing w:line="360" w:lineRule="auto" w:after="40"/>
        <w:ind w:firstLine="420"/>
      </w:pPr>
      <w:r>
        <w:t>常规定期KYC更新（如C、D项依赖的）不能替代基于加密资产入金这一“触发事件”所做的针对性审查</w:t>
      </w:r>
      <w:r>
        <w:rPr>
          <w:sz w:val="15"/>
          <w:vertAlign w:val="superscript"/>
        </w:rPr>
        <w:t>P358</w:t>
      </w:r>
      <w:r>
        <w:t>。触发事件审查要求结合事件本身（本次入金的币种、来源交易所等）去重新评估风险，而非仅确认资料的时效性。</w:t>
      </w:r>
    </w:p>
    <w:p>
      <w:pPr>
        <w:spacing w:line="360" w:lineRule="auto" w:after="120"/>
      </w:pPr>
      <w:r/>
    </w:p>
    <w:p>
      <w:pPr>
        <w:spacing w:line="360" w:lineRule="auto" w:after="40"/>
      </w:pPr>
      <w:r>
        <w:t>5. 年度风险评估包括固有风险、控制措施的有效性以及剩余风险。固有风险被评估为“中等”，而控制措施的有效性为“低于令人满意”。剩余风险的结论最有可能是什么？ ( )</w:t>
      </w:r>
    </w:p>
    <w:p>
      <w:pPr>
        <w:spacing w:line="360" w:lineRule="auto" w:after="20"/>
        <w:ind w:firstLine="283"/>
      </w:pPr>
      <w:r>
        <w:t>A. “中等”，因为控制措施薄弱会导致剩余风险保持不变</w:t>
      </w:r>
    </w:p>
    <w:p>
      <w:pPr>
        <w:spacing w:line="360" w:lineRule="auto" w:after="20"/>
        <w:ind w:firstLine="283"/>
      </w:pPr>
      <w:r>
        <w:t>B. “高”，因为控制措施薄弱会导致剩余风险增加</w:t>
      </w:r>
    </w:p>
    <w:p>
      <w:pPr>
        <w:spacing w:line="360" w:lineRule="auto" w:after="20"/>
        <w:ind w:firstLine="283"/>
      </w:pPr>
      <w:r>
        <w:t>C. “中等”，因为特定区域的风险结论可能会有所增加</w:t>
      </w:r>
    </w:p>
    <w:p>
      <w:pPr>
        <w:spacing w:line="360" w:lineRule="auto" w:after="20"/>
        <w:ind w:firstLine="283"/>
      </w:pPr>
      <w:r>
        <w:t>D. “低”，因为控制措施会降低风险</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剩余风险=固有风险减去控制有效性，控制弱则剩余风险升高</w:t>
      </w:r>
    </w:p>
    <w:p>
      <w:pPr>
        <w:spacing w:before="120" w:after="40"/>
      </w:pPr>
      <w:r>
        <w:rPr>
          <w:b/>
          <w:sz w:val="21"/>
          <w:shd w:fill="D6E4F0" w:val="clear"/>
        </w:rPr>
        <w:t>核心解析</w:t>
      </w:r>
    </w:p>
    <w:p>
      <w:pPr>
        <w:spacing w:line="360" w:lineRule="auto" w:after="40"/>
        <w:ind w:firstLine="420"/>
      </w:pPr>
      <w:r>
        <w:t>剩余风险的计算公式为：固有风险减去控制有效性等于剩余风险</w:t>
      </w:r>
      <w:r>
        <w:rPr>
          <w:sz w:val="15"/>
          <w:vertAlign w:val="superscript"/>
        </w:rPr>
        <w:t>P278</w:t>
      </w:r>
      <w:r>
        <w:t>。教材进一步说明，剩余风险基于对固有风险以及缓解该风险的控制有效性的理解来计算</w:t>
      </w:r>
      <w:r>
        <w:rPr>
          <w:sz w:val="15"/>
          <w:vertAlign w:val="superscript"/>
        </w:rPr>
        <w:t>P279</w:t>
      </w:r>
      <w:r>
        <w:t>。这表示，当固有风险一定时，控制有效性越差，剩余风险就越高。本题固有风险为“中等”，控制有效性为“低于令人满意”——即控制未能充分降低风险。由此可推断：扣除的控制效果很少，剩余风险会高于固有风险，“高”是最可能出现的结论。</w:t>
      </w:r>
    </w:p>
    <w:p>
      <w:pPr>
        <w:spacing w:before="120" w:after="40"/>
      </w:pPr>
      <w:r>
        <w:rPr>
          <w:b/>
          <w:sz w:val="21"/>
          <w:shd w:fill="D6E4F0" w:val="clear"/>
        </w:rPr>
        <w:t>教材原句</w:t>
      </w:r>
    </w:p>
    <w:p>
      <w:pPr>
        <w:spacing w:line="360" w:lineRule="auto" w:after="40"/>
        <w:ind w:firstLine="420"/>
      </w:pPr>
      <w:r>
        <w:t>"The formula for calculating residual risk is: inherent risk minus control effectiveness equals residual risk (inherent risk – control effectiveness = residual risk)."</w:t>
      </w:r>
    </w:p>
    <w:p>
      <w:pPr>
        <w:spacing w:before="120" w:after="40"/>
      </w:pPr>
      <w:r>
        <w:rPr>
          <w:b/>
          <w:sz w:val="21"/>
          <w:shd w:fill="D6E4F0" w:val="clear"/>
        </w:rPr>
        <w:t>A项错误</w:t>
      </w:r>
    </w:p>
    <w:p>
      <w:pPr>
        <w:spacing w:line="360" w:lineRule="auto" w:after="40"/>
        <w:ind w:firstLine="420"/>
      </w:pPr>
      <w:r>
        <w:t>该选项认为控制薄弱会让剩余风险保持不变。但按照教材公式，控制有效性“低于令人满意”意味着可扣除的控制效果较少，剩余风险应升高而非保持不变，因此选项A的看法与教材公式的匹配度不如选项B直接。</w:t>
      </w:r>
    </w:p>
    <w:p>
      <w:pPr>
        <w:spacing w:before="120" w:after="40"/>
      </w:pPr>
      <w:r>
        <w:rPr>
          <w:b/>
          <w:sz w:val="21"/>
          <w:shd w:fill="D6E4F0" w:val="clear"/>
        </w:rPr>
        <w:t>C项错误</w:t>
      </w:r>
    </w:p>
    <w:p>
      <w:pPr>
        <w:spacing w:line="360" w:lineRule="auto" w:after="40"/>
        <w:ind w:firstLine="420"/>
      </w:pPr>
      <w:r>
        <w:t>该选项将结论依然定为“中等”，理由只是特定区域的风险结论可能增加。题干问的是整体剩余风险结论，并未提及仅评估特定区域，且控制有效性低于满意的情况下，整体剩余风险应趋于升高，而非停留在中等。相比之下，选项B的“高”更吻合教材对剩余风险计算的整体判断。</w:t>
      </w:r>
    </w:p>
    <w:p>
      <w:pPr>
        <w:spacing w:before="120" w:after="40"/>
      </w:pPr>
      <w:r>
        <w:rPr>
          <w:b/>
          <w:sz w:val="21"/>
          <w:shd w:fill="D6E4F0" w:val="clear"/>
        </w:rPr>
        <w:t>D项错误</w:t>
      </w:r>
    </w:p>
    <w:p>
      <w:pPr>
        <w:spacing w:line="360" w:lineRule="auto" w:after="40"/>
        <w:ind w:firstLine="420"/>
      </w:pPr>
      <w:r>
        <w:t>虽然理想状态下控制措施能够降低风险，但本题中控制有效性已被评为“低于令人满意”，说明现有控制未能有效降低风险，此时剩余风险不会处于低位，而更可能升高。因此选项D的“低”与该题干条件不匹配。</w:t>
      </w:r>
    </w:p>
    <w:p>
      <w:pPr>
        <w:spacing w:before="120" w:after="40"/>
      </w:pPr>
      <w:r>
        <w:rPr>
          <w:b/>
          <w:sz w:val="21"/>
          <w:shd w:fill="D6E4F0" w:val="clear"/>
        </w:rPr>
        <w:t>易错提醒</w:t>
      </w:r>
    </w:p>
    <w:p>
      <w:pPr>
        <w:spacing w:line="360" w:lineRule="auto" w:after="40"/>
        <w:ind w:firstLine="420"/>
      </w:pPr>
      <w:r>
        <w:t>容易误以为固有风险中等、控制薄弱时剩余风险仍为中等。但教材明确给出公式：剩余风险=固有风险−控制有效性</w:t>
      </w:r>
      <w:r>
        <w:rPr>
          <w:sz w:val="15"/>
          <w:vertAlign w:val="superscript"/>
        </w:rPr>
        <w:t>P278</w:t>
      </w:r>
      <w:r>
        <w:t>。控制低于满意意味着控制有效性低，扣除值小，因此剩余风险会高于固有风险，不应停留在中等水平。</w:t>
      </w:r>
    </w:p>
    <w:p>
      <w:pPr>
        <w:spacing w:line="360" w:lineRule="auto" w:after="120"/>
      </w:pPr>
      <w:r/>
    </w:p>
    <w:p>
      <w:pPr>
        <w:spacing w:line="360" w:lineRule="auto" w:after="40"/>
      </w:pPr>
      <w:r>
        <w:t>6. 一家金融机构正在进行全企业范围的风险评估(EWRA),发现其私人银行部门存在较高的固有洗钱风险,原因是客户资产净值高且财务结构复杂.不过,该机构已实施了严格的客户尽职调查(CDD)和强化尽职调查(EDD)程序,并配备了先进的交易监控系统.这些控制措施会如何影响剩余风险的评估？ ( )</w:t>
      </w:r>
    </w:p>
    <w:p>
      <w:pPr>
        <w:spacing w:line="360" w:lineRule="auto" w:after="20"/>
        <w:ind w:firstLine="283"/>
      </w:pPr>
      <w:r>
        <w:t>A. 剩余风险将被完全消除,因为这些控制措施足以降低所有潜在风险.</w:t>
      </w:r>
    </w:p>
    <w:p>
      <w:pPr>
        <w:spacing w:line="360" w:lineRule="auto" w:after="20"/>
        <w:ind w:firstLine="283"/>
      </w:pPr>
      <w:r>
        <w:t>B. 由于现有控制措施的有效性,剩余风险将显著降低.</w:t>
      </w:r>
    </w:p>
    <w:p>
      <w:pPr>
        <w:spacing w:line="360" w:lineRule="auto" w:after="20"/>
        <w:ind w:firstLine="283"/>
      </w:pPr>
      <w:r>
        <w:t>C. 由于私人银行业务的固有性质,剩余风险仍将居高不下</w:t>
      </w:r>
    </w:p>
    <w:p>
      <w:pPr>
        <w:spacing w:line="360" w:lineRule="auto" w:after="20"/>
        <w:ind w:firstLine="283"/>
      </w:pPr>
      <w:r>
        <w:t>D. 残余风险会适度降低,但可能仍需进一步采取控制措施才能达到可接受的水平</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理解剩余风险由固有风险与控制有效性共同决定</w:t>
      </w:r>
    </w:p>
    <w:p>
      <w:pPr>
        <w:spacing w:before="120" w:after="40"/>
      </w:pPr>
      <w:r>
        <w:rPr>
          <w:b/>
          <w:sz w:val="21"/>
          <w:shd w:fill="D6E4F0" w:val="clear"/>
        </w:rPr>
        <w:t>核心解析</w:t>
      </w:r>
    </w:p>
    <w:p>
      <w:pPr>
        <w:spacing w:line="360" w:lineRule="auto" w:after="40"/>
        <w:ind w:firstLine="420"/>
      </w:pPr>
      <w:r>
        <w:t>剩余风险的计算公式是：固有风险减去控制有效性等于剩余风险（Inherent risk – control effectiveness = residual risk）</w:t>
      </w:r>
      <w:r>
        <w:rPr>
          <w:sz w:val="15"/>
          <w:vertAlign w:val="superscript"/>
        </w:rPr>
        <w:t>P278</w:t>
      </w:r>
      <w:r>
        <w:t>。这意味着即使控制措施有效，也只能将风险降低到一定程度，无法完全消除固有风险。题干中，私人银行部门的固有洗钱风险高，机构实施了严格的CDD、EDD和交易监控措施。这些控制的有效执行会降低风险——正如教材案例中针对PEP实施EDD后剩余风险可降至中低水平</w:t>
      </w:r>
      <w:r>
        <w:rPr>
          <w:sz w:val="15"/>
          <w:vertAlign w:val="superscript"/>
        </w:rPr>
        <w:t>P278</w:t>
      </w:r>
      <w:r>
        <w:t>——但题干并未说明控制已完全消除风险敞口。组织在了解自己的剩余风险后，还需要判断该风险是否在容忍度内，或是否需要制定行动计划来进一步缓解风险</w:t>
      </w:r>
      <w:r>
        <w:rPr>
          <w:sz w:val="15"/>
          <w:vertAlign w:val="superscript"/>
        </w:rPr>
        <w:t>P279</w:t>
      </w:r>
      <w:r>
        <w:t>。因此，剩余风险会被适度降低，但可能仍需额外的控制措施才能达到可接受水平。选项D最直接地吻合这个动态评估逻辑。</w:t>
      </w:r>
    </w:p>
    <w:p>
      <w:pPr>
        <w:spacing w:before="120" w:after="40"/>
      </w:pPr>
      <w:r>
        <w:rPr>
          <w:b/>
          <w:sz w:val="21"/>
          <w:shd w:fill="D6E4F0" w:val="clear"/>
        </w:rPr>
        <w:t>教材原句</w:t>
      </w:r>
    </w:p>
    <w:p>
      <w:pPr>
        <w:spacing w:line="360" w:lineRule="auto" w:after="40"/>
        <w:ind w:firstLine="420"/>
      </w:pPr>
      <w:r>
        <w:t>"The formula for calculating residual risk is: inherent risk minus control effectiveness equals residual risk (inherent risk – control effectiveness = residual risk)."</w:t>
      </w:r>
    </w:p>
    <w:p>
      <w:pPr>
        <w:spacing w:before="120" w:after="40"/>
      </w:pPr>
      <w:r>
        <w:rPr>
          <w:b/>
          <w:sz w:val="21"/>
          <w:shd w:fill="D6E4F0" w:val="clear"/>
        </w:rPr>
        <w:t>A项错误</w:t>
      </w:r>
    </w:p>
    <w:p>
      <w:pPr>
        <w:spacing w:line="360" w:lineRule="auto" w:after="40"/>
        <w:ind w:firstLine="420"/>
      </w:pPr>
      <w:r>
        <w:t>控制措施旨在降低固有风险，但不能“完全消除”风险。教材说明应将风险降至与风险偏好一致的可接受水平</w:t>
      </w:r>
      <w:r>
        <w:rPr>
          <w:sz w:val="15"/>
          <w:vertAlign w:val="superscript"/>
        </w:rPr>
        <w:t>P278</w:t>
      </w:r>
      <w:r>
        <w:t>，且控制有效性受设计、运行等因素影响</w:t>
      </w:r>
      <w:r>
        <w:rPr>
          <w:sz w:val="15"/>
          <w:vertAlign w:val="superscript"/>
        </w:rPr>
        <w:t>P278</w:t>
      </w:r>
      <w:r>
        <w:t>，绝对消除不现实。</w:t>
      </w:r>
    </w:p>
    <w:p>
      <w:pPr>
        <w:spacing w:before="120" w:after="40"/>
      </w:pPr>
      <w:r>
        <w:rPr>
          <w:b/>
          <w:sz w:val="21"/>
          <w:shd w:fill="D6E4F0" w:val="clear"/>
        </w:rPr>
        <w:t>B项错误</w:t>
      </w:r>
    </w:p>
    <w:p>
      <w:pPr>
        <w:spacing w:line="360" w:lineRule="auto" w:after="40"/>
        <w:ind w:firstLine="420"/>
      </w:pPr>
      <w:r>
        <w:t>题干仅陈述控制措施已“实施”，未提供其有效性已得到验证且足以“显著”降低风险的具体证据。教材指出控制有效性取决于正确应用和全组织一致性</w:t>
      </w:r>
      <w:r>
        <w:rPr>
          <w:sz w:val="15"/>
          <w:vertAlign w:val="superscript"/>
        </w:rPr>
        <w:t>P278</w:t>
      </w:r>
      <w:r>
        <w:t>，且评估后可能仍发现设计缺陷</w:t>
      </w:r>
      <w:r>
        <w:rPr>
          <w:sz w:val="15"/>
          <w:vertAlign w:val="superscript"/>
        </w:rPr>
        <w:t>P279</w:t>
      </w:r>
      <w:r>
        <w:t>。选项D的“适度降低，但可能仍需进一步措施”比“显著降低”更吻合风险管理的审慎原则和教材的逐步评估流程。</w:t>
      </w:r>
    </w:p>
    <w:p>
      <w:pPr>
        <w:spacing w:before="120" w:after="40"/>
      </w:pPr>
      <w:r>
        <w:rPr>
          <w:b/>
          <w:sz w:val="21"/>
          <w:shd w:fill="D6E4F0" w:val="clear"/>
        </w:rPr>
        <w:t>C项错误</w:t>
      </w:r>
    </w:p>
    <w:p>
      <w:pPr>
        <w:spacing w:line="360" w:lineRule="auto" w:after="40"/>
        <w:ind w:firstLine="420"/>
      </w:pPr>
      <w:r>
        <w:t>该选项完全忽略了已实施的控制措施对降低风险的作用。私人银行确实因客户资产净值高和保密文化而存在较高固有风险</w:t>
      </w:r>
      <w:r>
        <w:rPr>
          <w:sz w:val="15"/>
          <w:vertAlign w:val="superscript"/>
        </w:rPr>
        <w:t>P71</w:t>
      </w:r>
      <w:r>
        <w:t>，但剩余风险的定义就是考虑了控制措施后的净风险</w:t>
      </w:r>
      <w:r>
        <w:rPr>
          <w:sz w:val="15"/>
          <w:vertAlign w:val="superscript"/>
        </w:rPr>
        <w:t>P278</w:t>
      </w:r>
      <w:r>
        <w:t>。题干明示已有控制措施，所以剩余风险不可能仍简单等同于居高不下的固有风险。</w:t>
      </w:r>
    </w:p>
    <w:p>
      <w:pPr>
        <w:spacing w:before="120" w:after="40"/>
      </w:pPr>
      <w:r>
        <w:rPr>
          <w:b/>
          <w:sz w:val="21"/>
          <w:shd w:fill="D6E4F0" w:val="clear"/>
        </w:rPr>
        <w:t>易错提醒</w:t>
      </w:r>
    </w:p>
    <w:p>
      <w:pPr>
        <w:spacing w:line="360" w:lineRule="auto" w:after="40"/>
        <w:ind w:firstLine="420"/>
      </w:pPr>
      <w:r>
        <w:t>核心是区分“固有风险”与“剩余风险”。固有风险指在没有采取任何控制措施的情况下，机构面临的风险敞口；而剩余风险是在采取了控制措施后仍然存在的净风险。考生容易在看到“实施了严格控制”后，直接跳到“风险显著降低”的结论，忽略了风险评估必须审慎确认控制有效性，并判断风险是否降至了可容忍水平。</w:t>
      </w:r>
    </w:p>
    <w:p>
      <w:pPr>
        <w:spacing w:line="360" w:lineRule="auto" w:after="120"/>
      </w:pPr>
      <w:r/>
    </w:p>
    <w:p>
      <w:pPr>
        <w:spacing w:line="360" w:lineRule="auto" w:after="40"/>
      </w:pPr>
      <w:r>
        <w:t>7. 采取基于风险的方法对于金融机构了解自身面临的洗钱和恐怖融资风险至关重要.制定洗钱和恐怖融资风险评估是关键的起点.常用的危险因素包括.(选择三项.) ( )</w:t>
      </w:r>
    </w:p>
    <w:p>
      <w:pPr>
        <w:spacing w:line="360" w:lineRule="auto" w:after="20"/>
        <w:ind w:firstLine="283"/>
      </w:pPr>
      <w:r>
        <w:t>A. 产品风险.</w:t>
      </w:r>
    </w:p>
    <w:p>
      <w:pPr>
        <w:spacing w:line="360" w:lineRule="auto" w:after="20"/>
        <w:ind w:firstLine="283"/>
      </w:pPr>
      <w:r>
        <w:t>B. 信用风险.</w:t>
      </w:r>
    </w:p>
    <w:p>
      <w:pPr>
        <w:spacing w:line="360" w:lineRule="auto" w:after="20"/>
        <w:ind w:firstLine="283"/>
      </w:pPr>
      <w:r>
        <w:t>C. 地理风险.</w:t>
      </w:r>
    </w:p>
    <w:p>
      <w:pPr>
        <w:spacing w:line="360" w:lineRule="auto" w:after="20"/>
        <w:ind w:firstLine="283"/>
      </w:pPr>
      <w:r>
        <w:t>D. 客户风险.</w:t>
      </w:r>
    </w:p>
    <w:p>
      <w:pPr>
        <w:spacing w:line="360" w:lineRule="auto" w:after="20"/>
        <w:ind w:firstLine="283"/>
      </w:pPr>
      <w:r>
        <w:t>E. 流动性风险.</w:t>
      </w:r>
    </w:p>
    <w:p>
      <w:pPr>
        <w:spacing w:line="360" w:lineRule="auto" w:after="40"/>
      </w:pPr>
      <w:r>
        <w:t>答案:A、C、D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识别EWRA固有风险评估的四类风险因素（客户、地域、产品、渠道）</w:t>
      </w:r>
    </w:p>
    <w:p>
      <w:pPr>
        <w:spacing w:before="120" w:after="40"/>
      </w:pPr>
      <w:r>
        <w:rPr>
          <w:b/>
          <w:sz w:val="21"/>
          <w:shd w:fill="D6E4F0" w:val="clear"/>
        </w:rPr>
        <w:t>核心解析</w:t>
      </w:r>
    </w:p>
    <w:p>
      <w:pPr>
        <w:spacing w:line="360" w:lineRule="auto" w:after="40"/>
        <w:ind w:firstLine="420"/>
      </w:pPr>
      <w:r>
        <w:t>教材在描述机构层面风险评估（EWRA）确定固有风险的步骤时，要求收集客户、地域、产品和渠道四类数据并分析各类别的风险因素</w:t>
      </w:r>
      <w:r>
        <w:rPr>
          <w:sz w:val="15"/>
          <w:vertAlign w:val="superscript"/>
        </w:rPr>
        <w:t>P275</w:t>
      </w:r>
      <w:r>
        <w:t>。客户风险评级考虑行业、交易量、腐败指数和地理位置</w:t>
      </w:r>
      <w:r>
        <w:rPr>
          <w:sz w:val="15"/>
          <w:vertAlign w:val="superscript"/>
        </w:rPr>
        <w:t>P275</w:t>
      </w:r>
      <w:r>
        <w:t>；地域风险评估涉及政治稳定性、监管环境和制裁状况</w:t>
      </w:r>
      <w:r>
        <w:rPr>
          <w:sz w:val="15"/>
          <w:vertAlign w:val="superscript"/>
        </w:rPr>
        <w:t>P275</w:t>
      </w:r>
      <w:r>
        <w:t>；产品风险评估考虑复杂性、潜在滥用或对非法活动的吸引力</w:t>
      </w:r>
      <w:r>
        <w:rPr>
          <w:sz w:val="15"/>
          <w:vertAlign w:val="superscript"/>
        </w:rPr>
        <w:t>P275</w:t>
      </w:r>
      <w:r>
        <w:t>。同时，教材特别提醒：本书语境下的“风险”特指金融犯罪风险，包括洗钱风险、恐怖融资风险及其他类型的金融犯罪风险，与信用风险、流动性风险等传统金融风险分属不同范畴</w:t>
      </w:r>
      <w:r>
        <w:rPr>
          <w:sz w:val="15"/>
          <w:vertAlign w:val="superscript"/>
        </w:rPr>
        <w:t>P52</w:t>
      </w:r>
      <w:r>
        <w:t>。题干问的是洗钱和恐怖融资风险评估中常用的风险因素，A（产品风险）、C（地理风险）、D（客户风险）正好对应P275列出的四类风险评估维度中的三类，直接匹配教材的EWRA框架。</w:t>
      </w:r>
    </w:p>
    <w:p>
      <w:pPr>
        <w:spacing w:before="120" w:after="40"/>
      </w:pPr>
      <w:r>
        <w:rPr>
          <w:b/>
          <w:sz w:val="21"/>
          <w:shd w:fill="D6E4F0" w:val="clear"/>
        </w:rPr>
        <w:t>B项错误</w:t>
      </w:r>
    </w:p>
    <w:p>
      <w:pPr>
        <w:spacing w:line="360" w:lineRule="auto" w:after="40"/>
        <w:ind w:firstLine="420"/>
      </w:pPr>
      <w:r>
        <w:t>信用风险指借款人违约导致的潜在损失</w:t>
      </w:r>
      <w:r>
        <w:rPr>
          <w:sz w:val="15"/>
          <w:vertAlign w:val="superscript"/>
        </w:rPr>
        <w:t>P243</w:t>
      </w:r>
      <w:r>
        <w:t>，属于传统金融风险类型，并非洗钱/恐怖融资风险评估中常用的分类维度。若题干问的是金融机构整体风险管理中的风险类型，信用风险会直接入选；但在金融犯罪风险</w:t>
      </w:r>
      <w:r>
        <w:rPr>
          <w:sz w:val="15"/>
          <w:vertAlign w:val="superscript"/>
        </w:rPr>
        <w:t>P52</w:t>
      </w:r>
      <w:r>
        <w:t>的语境下，客户风险、地理风险、产品风险与教材EWRA框架的四类风险因素更吻合。</w:t>
      </w:r>
    </w:p>
    <w:p>
      <w:pPr>
        <w:spacing w:before="120" w:after="40"/>
      </w:pPr>
      <w:r>
        <w:rPr>
          <w:b/>
          <w:sz w:val="21"/>
          <w:shd w:fill="D6E4F0" w:val="clear"/>
        </w:rPr>
        <w:t>E项错误</w:t>
      </w:r>
    </w:p>
    <w:p>
      <w:pPr>
        <w:spacing w:line="360" w:lineRule="auto" w:after="40"/>
        <w:ind w:firstLine="420"/>
      </w:pPr>
      <w:r>
        <w:t>流动性风险指组织偿付金融义务的能力</w:t>
      </w:r>
      <w:r>
        <w:rPr>
          <w:sz w:val="15"/>
          <w:vertAlign w:val="superscript"/>
        </w:rPr>
        <w:t>P243</w:t>
      </w:r>
      <w:r>
        <w:t>，与信用风险一样属于传统金融风险范畴。教材在P52已明确术语“风险”特指金融犯罪风险，因此流动性风险与题干要求的洗钱/恐怖融资风险因素的匹配度不如产品、地理、客户风险直接。</w:t>
      </w:r>
    </w:p>
    <w:p>
      <w:pPr>
        <w:spacing w:before="120" w:after="40"/>
      </w:pPr>
      <w:r>
        <w:rPr>
          <w:b/>
          <w:sz w:val="21"/>
          <w:shd w:fill="D6E4F0" w:val="clear"/>
        </w:rPr>
        <w:t>易错提醒</w:t>
      </w:r>
    </w:p>
    <w:p>
      <w:pPr>
        <w:spacing w:line="360" w:lineRule="auto" w:after="40"/>
        <w:ind w:firstLine="420"/>
      </w:pPr>
      <w:r>
        <w:t>教材中存在两套“风险”概念体系：一是传统金融机构风险（信用风险、流动性风险、操作风险、市场风险等，见P243），二是金融犯罪风险（洗钱、恐怖融资、制裁违规等，见P52）。题干明确限定了洗钱和恐怖融资风险评估，应使用金融犯罪风险框架下的四类因素（客户、地域、产品、渠道，见P275）来判断，而非机构整体风险管理中的传统风险类型。</w:t>
      </w:r>
    </w:p>
    <w:p>
      <w:pPr>
        <w:spacing w:line="360" w:lineRule="auto" w:after="120"/>
      </w:pPr>
      <w:r/>
    </w:p>
    <w:p>
      <w:pPr>
        <w:spacing w:line="360" w:lineRule="auto" w:after="40"/>
      </w:pPr>
      <w:r>
        <w:t>8. 金融机构(FI)在为新企业客户开设新银行账户时应审查哪些风险因素？(选择三项.) ( )</w:t>
      </w:r>
    </w:p>
    <w:p>
      <w:pPr>
        <w:spacing w:line="360" w:lineRule="auto" w:after="20"/>
        <w:ind w:firstLine="283"/>
      </w:pPr>
      <w:r>
        <w:t>A. 新客户当前或之前有业务往来的所有金融机构</w:t>
      </w:r>
    </w:p>
    <w:p>
      <w:pPr>
        <w:spacing w:line="360" w:lineRule="auto" w:after="20"/>
        <w:ind w:firstLine="283"/>
      </w:pPr>
      <w:r>
        <w:t>B. 该企业客户所从事的业务类型</w:t>
      </w:r>
    </w:p>
    <w:p>
      <w:pPr>
        <w:spacing w:line="360" w:lineRule="auto" w:after="20"/>
        <w:ind w:firstLine="283"/>
      </w:pPr>
      <w:r>
        <w:t>C. 新客户所有员工的就业情况和信息</w:t>
      </w:r>
    </w:p>
    <w:p>
      <w:pPr>
        <w:spacing w:line="360" w:lineRule="auto" w:after="20"/>
        <w:ind w:firstLine="283"/>
      </w:pPr>
      <w:r>
        <w:t>D. 客户所属的国家或地区,或客户开展业务的国家或地区</w:t>
      </w:r>
    </w:p>
    <w:p>
      <w:pPr>
        <w:spacing w:line="360" w:lineRule="auto" w:after="20"/>
        <w:ind w:firstLine="283"/>
      </w:pPr>
      <w:r>
        <w:t>E. 高级管理人员的身份以及所有获授权操作该账户的个人身份</w:t>
      </w:r>
    </w:p>
    <w:p>
      <w:pPr>
        <w:spacing w:line="360" w:lineRule="auto" w:after="40"/>
      </w:pPr>
      <w:r>
        <w:t>答案:B、D、E</w:t>
      </w:r>
    </w:p>
    <w:p>
      <w:pPr>
        <w:spacing w:line="360" w:lineRule="auto" w:after="40"/>
      </w:pPr>
      <w:r>
        <w:t>解析：</w:t>
      </w:r>
    </w:p>
    <w:p>
      <w:pPr>
        <w:spacing w:before="120" w:after="40"/>
      </w:pPr>
      <w:r>
        <w:rPr>
          <w:b/>
          <w:sz w:val="21"/>
          <w:shd w:fill="D6E4F0" w:val="clear"/>
        </w:rPr>
        <w:t>考点</w:t>
      </w:r>
    </w:p>
    <w:p>
      <w:pPr>
        <w:spacing w:line="360" w:lineRule="auto" w:after="40"/>
        <w:ind w:firstLine="420"/>
      </w:pPr>
      <w:r>
        <w:t>企业开户风险审查要素：业务类型、地域及管理层身份</w:t>
      </w:r>
    </w:p>
    <w:p>
      <w:pPr>
        <w:spacing w:before="120" w:after="40"/>
      </w:pPr>
      <w:r>
        <w:rPr>
          <w:b/>
          <w:sz w:val="21"/>
          <w:shd w:fill="D6E4F0" w:val="clear"/>
        </w:rPr>
        <w:t>核心解析</w:t>
      </w:r>
    </w:p>
    <w:p>
      <w:pPr>
        <w:spacing w:line="360" w:lineRule="auto" w:after="40"/>
        <w:ind w:firstLine="420"/>
      </w:pPr>
      <w:r>
        <w:t>客户风险评级一般考虑其行业、交易量、腐败指数和地理位置</w:t>
      </w:r>
      <w:r>
        <w:rPr>
          <w:sz w:val="15"/>
          <w:vertAlign w:val="superscript"/>
        </w:rPr>
        <w:t>P275</w:t>
      </w:r>
      <w:r>
        <w:t>。新企业客户的开户审查中，业务类型对应行业，客户所属或业务所在的国家/地区对应地理位置，因而构成核心风险维度。同时，法人客户尽职调查要求验证董事、高级管理层以及授权签字人的身份</w:t>
      </w:r>
      <w:r>
        <w:rPr>
          <w:sz w:val="15"/>
          <w:vertAlign w:val="superscript"/>
        </w:rPr>
        <w:t>P311</w:t>
      </w:r>
      <w:r>
        <w:t>。因此，选项B、D、E直接吻合这些审查要素。</w:t>
      </w:r>
    </w:p>
    <w:p>
      <w:pPr>
        <w:spacing w:before="120" w:after="40"/>
      </w:pPr>
      <w:r>
        <w:rPr>
          <w:b/>
          <w:sz w:val="21"/>
          <w:shd w:fill="D6E4F0" w:val="clear"/>
        </w:rPr>
        <w:t>A项错误</w:t>
      </w:r>
    </w:p>
    <w:p>
      <w:pPr>
        <w:spacing w:line="360" w:lineRule="auto" w:after="40"/>
        <w:ind w:firstLine="420"/>
      </w:pPr>
      <w:r>
        <w:t>教材风险评估步骤</w:t>
      </w:r>
      <w:r>
        <w:rPr>
          <w:sz w:val="15"/>
          <w:vertAlign w:val="superscript"/>
        </w:rPr>
        <w:t>P51</w:t>
      </w:r>
      <w:r>
        <w:t>和客户风险评级</w:t>
      </w:r>
      <w:r>
        <w:rPr>
          <w:sz w:val="15"/>
          <w:vertAlign w:val="superscript"/>
        </w:rPr>
        <w:t>P275</w:t>
      </w:r>
      <w:r>
        <w:t>关注的是客户自身的行业与地理因素，而非其过往或现有的往来金融机构。审查所有往来金融机构的要求未出现在开户风险因素的描述中，相比之下B、D、E与教材定义匹配更直接。</w:t>
      </w:r>
    </w:p>
    <w:p>
      <w:pPr>
        <w:spacing w:before="120" w:after="40"/>
      </w:pPr>
      <w:r>
        <w:rPr>
          <w:b/>
          <w:sz w:val="21"/>
          <w:shd w:fill="D6E4F0" w:val="clear"/>
        </w:rPr>
        <w:t>C项错误</w:t>
      </w:r>
    </w:p>
    <w:p>
      <w:pPr>
        <w:spacing w:line="360" w:lineRule="auto" w:after="40"/>
        <w:ind w:firstLine="420"/>
      </w:pPr>
      <w:r>
        <w:t>自然人CDD需收集就业信息</w:t>
      </w:r>
      <w:r>
        <w:rPr>
          <w:sz w:val="15"/>
          <w:vertAlign w:val="superscript"/>
        </w:rPr>
        <w:t>P309</w:t>
      </w:r>
      <w:r>
        <w:t>，但企业客户CDD仅需验证董事、高级管理层和授权签字人</w:t>
      </w:r>
      <w:r>
        <w:rPr>
          <w:sz w:val="15"/>
          <w:vertAlign w:val="superscript"/>
        </w:rPr>
        <w:t>P311</w:t>
      </w:r>
      <w:r>
        <w:t>，并不要求所有员工的就业情况。因此，选项C的范围远大于教材所界定的法人审查要素，不如E项精准。</w:t>
      </w:r>
    </w:p>
    <w:p>
      <w:pPr>
        <w:spacing w:before="120" w:after="40"/>
      </w:pPr>
      <w:r>
        <w:rPr>
          <w:b/>
          <w:sz w:val="21"/>
          <w:shd w:fill="D6E4F0" w:val="clear"/>
        </w:rPr>
        <w:t>易错提醒</w:t>
      </w:r>
    </w:p>
    <w:p>
      <w:pPr>
        <w:spacing w:line="360" w:lineRule="auto" w:after="40"/>
        <w:ind w:firstLine="420"/>
      </w:pPr>
      <w:r>
        <w:t>企业客户CDD聚焦于董事、高级管理层及授权签字人</w:t>
      </w:r>
      <w:r>
        <w:rPr>
          <w:sz w:val="15"/>
          <w:vertAlign w:val="superscript"/>
        </w:rPr>
        <w:t>P311</w:t>
      </w:r>
      <w:r>
        <w:t>，而非所有员工；自然人CDD才需要就业信息</w:t>
      </w:r>
      <w:r>
        <w:rPr>
          <w:sz w:val="15"/>
          <w:vertAlign w:val="superscript"/>
        </w:rPr>
        <w:t>P309</w:t>
      </w:r>
      <w:r>
        <w:t>。切勿将自然人要求套用于企业客户。</w:t>
      </w:r>
    </w:p>
    <w:p>
      <w:pPr>
        <w:spacing w:line="360" w:lineRule="auto" w:after="120"/>
      </w:pPr>
      <w:r/>
    </w:p>
    <w:p>
      <w:pPr>
        <w:spacing w:line="360" w:lineRule="auto" w:after="40"/>
      </w:pPr>
      <w:r>
        <w:t>9. 评估金融领域内某一产品相关的洗钱风险包括评估以下方面:(选择两项.) ( )</w:t>
      </w:r>
    </w:p>
    <w:p>
      <w:pPr>
        <w:spacing w:line="360" w:lineRule="auto" w:after="20"/>
        <w:ind w:firstLine="283"/>
      </w:pPr>
      <w:r>
        <w:t>A. 治理安排</w:t>
      </w:r>
    </w:p>
    <w:p>
      <w:pPr>
        <w:spacing w:line="360" w:lineRule="auto" w:after="20"/>
        <w:ind w:firstLine="283"/>
      </w:pPr>
      <w:r>
        <w:t>B. 产品的复杂性</w:t>
      </w:r>
    </w:p>
    <w:p>
      <w:pPr>
        <w:spacing w:line="360" w:lineRule="auto" w:after="20"/>
        <w:ind w:firstLine="283"/>
      </w:pPr>
      <w:r>
        <w:t>C. 上次审计的结果</w:t>
      </w:r>
    </w:p>
    <w:p>
      <w:pPr>
        <w:spacing w:line="360" w:lineRule="auto" w:after="20"/>
        <w:ind w:firstLine="283"/>
      </w:pPr>
      <w:r>
        <w:t>D. 企业的财务状况</w:t>
      </w:r>
    </w:p>
    <w:p>
      <w:pPr>
        <w:spacing w:line="360" w:lineRule="auto" w:after="40"/>
      </w:pPr>
      <w:r>
        <w:t>答案:A、B</w:t>
      </w:r>
    </w:p>
    <w:p>
      <w:pPr>
        <w:spacing w:line="360" w:lineRule="auto" w:after="40"/>
      </w:pPr>
      <w:r>
        <w:t>解析：</w:t>
      </w:r>
    </w:p>
    <w:p>
      <w:pPr>
        <w:spacing w:before="120" w:after="40"/>
      </w:pPr>
      <w:r>
        <w:rPr>
          <w:b/>
          <w:sz w:val="21"/>
          <w:shd w:fill="D6E4F0" w:val="clear"/>
        </w:rPr>
        <w:t>考点</w:t>
      </w:r>
    </w:p>
    <w:p>
      <w:pPr>
        <w:spacing w:line="360" w:lineRule="auto" w:after="40"/>
        <w:ind w:firstLine="420"/>
      </w:pPr>
      <w:r>
        <w:t>产品洗钱风险评估的两个维度：固有特征与治理管控</w:t>
      </w:r>
    </w:p>
    <w:p>
      <w:pPr>
        <w:spacing w:before="120" w:after="40"/>
      </w:pPr>
      <w:r>
        <w:rPr>
          <w:b/>
          <w:sz w:val="21"/>
          <w:shd w:fill="D6E4F0" w:val="clear"/>
        </w:rPr>
        <w:t>核心解析</w:t>
      </w:r>
    </w:p>
    <w:p>
      <w:pPr>
        <w:spacing w:line="360" w:lineRule="auto" w:after="40"/>
        <w:ind w:firstLine="420"/>
      </w:pPr>
      <w:r>
        <w:t>评估某一金融产品的洗钱风险，教材从两个层面提供了框架：一是产品本身的固有风险特征，其中“复杂性”是直接考量因素——“确定产品风险，考虑产品的复杂性、潜在滥用或对非法活动的吸引力”</w:t>
      </w:r>
      <w:r>
        <w:rPr>
          <w:sz w:val="15"/>
          <w:vertAlign w:val="superscript"/>
        </w:rPr>
        <w:t>P275</w:t>
      </w:r>
      <w:r>
        <w:t>。题干中“产品的复杂性”选项直接命中了这一核心维度。二是围绕该产品的风险管理架构，FATF要求“合规项目应包括对洗钱和恐怖融资风险的公司治理和整体管理”</w:t>
      </w:r>
      <w:r>
        <w:rPr>
          <w:sz w:val="15"/>
          <w:vertAlign w:val="superscript"/>
        </w:rPr>
        <w:t>P339</w:t>
      </w:r>
      <w:r>
        <w:t>，教材随后在交易监控章节也明确“机构建立治理委员会以确保选择正确的场景和方法”</w:t>
      </w:r>
      <w:r>
        <w:rPr>
          <w:sz w:val="15"/>
          <w:vertAlign w:val="superscript"/>
        </w:rPr>
        <w:t>P449</w:t>
      </w:r>
      <w:r>
        <w:t>。这意味着评估一个产品的洗钱风险，不能只看产品本身有多复杂，还要看有没有相应的治理安排去管控这个产品的风险。A、B两项分别从“产品长什么样”和“谁来管、怎么管”两个角度完整覆盖了教材对产品风险评估的要求。</w:t>
      </w:r>
    </w:p>
    <w:p>
      <w:pPr>
        <w:spacing w:before="120" w:after="40"/>
      </w:pPr>
      <w:r>
        <w:rPr>
          <w:b/>
          <w:sz w:val="21"/>
          <w:shd w:fill="D6E4F0" w:val="clear"/>
        </w:rPr>
        <w:t>教材原句</w:t>
      </w:r>
    </w:p>
    <w:p>
      <w:pPr>
        <w:spacing w:line="360" w:lineRule="auto" w:after="40"/>
        <w:ind w:firstLine="420"/>
      </w:pPr>
      <w:r>
        <w:t>"To determine product risk, consider the complexity, potential misuse, or attractiveness of the product for illicit activities."</w:t>
      </w:r>
    </w:p>
    <w:p>
      <w:pPr>
        <w:spacing w:before="120" w:after="40"/>
      </w:pPr>
      <w:r>
        <w:rPr>
          <w:b/>
          <w:sz w:val="21"/>
          <w:shd w:fill="D6E4F0" w:val="clear"/>
        </w:rPr>
        <w:t>C项错误</w:t>
      </w:r>
    </w:p>
    <w:p>
      <w:pPr>
        <w:spacing w:line="360" w:lineRule="auto" w:after="40"/>
        <w:ind w:firstLine="420"/>
      </w:pPr>
      <w:r>
        <w:t>“独立审计”在教材中被列为反洗钱项目五大支柱之一，其作用是“定期测试和评估项目的有效性”</w:t>
      </w:r>
      <w:r>
        <w:rPr>
          <w:sz w:val="15"/>
          <w:vertAlign w:val="superscript"/>
        </w:rPr>
        <w:t>P244</w:t>
      </w:r>
      <w:r>
        <w:t>。审计结果反映的是整个合规项目运行得好不好，是一个事后的独立验证环节，而非产品风险评估本身的构成要素。题干问的是“评估产品相关的洗钱风险包括评估什么”，正确项更直接匹配教材对产品风险评估维度的定义。</w:t>
      </w:r>
    </w:p>
    <w:p>
      <w:pPr>
        <w:spacing w:before="120" w:after="40"/>
      </w:pPr>
      <w:r>
        <w:rPr>
          <w:b/>
          <w:sz w:val="21"/>
          <w:shd w:fill="D6E4F0" w:val="clear"/>
        </w:rPr>
        <w:t>D项错误</w:t>
      </w:r>
    </w:p>
    <w:p>
      <w:pPr>
        <w:spacing w:line="360" w:lineRule="auto" w:after="40"/>
        <w:ind w:firstLine="420"/>
      </w:pPr>
      <w:r>
        <w:t>教材在并购尽职调查场景下提到需验证“企业的财务状况”</w:t>
      </w:r>
      <w:r>
        <w:rPr>
          <w:sz w:val="15"/>
          <w:vertAlign w:val="superscript"/>
        </w:rPr>
        <w:t>P77</w:t>
      </w:r>
      <w:r>
        <w:t>，但这是针对交易对手方的尽职调查要求，不是评估金融产品本身洗钱风险的维度。题干未提及企业主体或并购场景，“企业的财务状况”与“产品的洗钱风险”在教材框架下分属不同的评估对象，缺乏直接匹配关系。</w:t>
      </w:r>
    </w:p>
    <w:p>
      <w:pPr>
        <w:spacing w:before="120" w:after="40"/>
      </w:pPr>
      <w:r>
        <w:rPr>
          <w:b/>
          <w:sz w:val="21"/>
          <w:shd w:fill="D6E4F0" w:val="clear"/>
        </w:rPr>
        <w:t>易错提醒</w:t>
      </w:r>
    </w:p>
    <w:p>
      <w:pPr>
        <w:spacing w:line="360" w:lineRule="auto" w:after="40"/>
        <w:ind w:firstLine="420"/>
      </w:pPr>
      <w:r>
        <w:t>治理安排（governance arrangements）在教材中出现在多个章节：P339将其定位为合规项目应“包括”的组成部分（企业层面），P449则具体描述治理委员会如何监督交易监控规则的选定和实施（产品/系统层面）。评估一个产品的洗钱风险时，“治理安排”既指企业层面是否有反洗钱治理架构来管理产品风险，也指围绕具体产品的治理委员会是否在有效运作。相比之下，审计结果是治理运行后的独立检验输出，而非治理安排本身。</w:t>
      </w:r>
    </w:p>
    <w:p>
      <w:pPr>
        <w:spacing w:line="360" w:lineRule="auto" w:after="120"/>
      </w:pPr>
      <w:r/>
    </w:p>
    <w:p>
      <w:pPr>
        <w:spacing w:line="360" w:lineRule="auto" w:after="40"/>
      </w:pPr>
      <w:r>
        <w:t>10. [反洗钱/打击资助恐怖主义合规计划]一家机构正打算改变现有的基于阈值的监控方案,因为该方案产生了过多的警报,但并未生成可疑活动报告.提交给相关委员会以支持此提案的文件应包括以下内容的详细信息:(选择三项.) ( )</w:t>
      </w:r>
    </w:p>
    <w:p>
      <w:pPr>
        <w:spacing w:line="360" w:lineRule="auto" w:after="20"/>
        <w:ind w:firstLine="283"/>
      </w:pPr>
      <w:r>
        <w:t>A. 证明因变更而增加的剩余风险在银行的风险偏好范围内.</w:t>
      </w:r>
    </w:p>
    <w:p>
      <w:pPr>
        <w:spacing w:line="360" w:lineRule="auto" w:after="20"/>
        <w:ind w:firstLine="283"/>
      </w:pPr>
      <w:r>
        <w:t>B. 反洗钱报告专员对提案的批准.</w:t>
      </w:r>
    </w:p>
    <w:p>
      <w:pPr>
        <w:spacing w:line="360" w:lineRule="auto" w:after="20"/>
        <w:ind w:firstLine="283"/>
      </w:pPr>
      <w:r>
        <w:t>C. 在较低生产率阈值上投入了多少资源以及相关的成本.</w:t>
      </w:r>
    </w:p>
    <w:p>
      <w:pPr>
        <w:spacing w:line="360" w:lineRule="auto" w:after="20"/>
        <w:ind w:firstLine="283"/>
      </w:pPr>
      <w:r>
        <w:t>D. 不会提起诉讼的案件数量以及能够为其他任务释放的资源.</w:t>
      </w:r>
    </w:p>
    <w:p>
      <w:pPr>
        <w:spacing w:line="360" w:lineRule="auto" w:after="20"/>
        <w:ind w:firstLine="283"/>
      </w:pPr>
      <w:r>
        <w:t>E. 与监管机构举行会议的纪要,其中达成一致意见,认为提高门槛是合理的.</w:t>
      </w:r>
    </w:p>
    <w:p>
      <w:pPr>
        <w:spacing w:line="360" w:lineRule="auto" w:after="20"/>
        <w:ind w:firstLine="283"/>
      </w:pPr>
      <w:r>
        <w:t>F. 历史分析表明,当前的情形导致了过多警报</w:t>
      </w:r>
    </w:p>
    <w:p>
      <w:pPr>
        <w:spacing w:line="360" w:lineRule="auto" w:after="40"/>
      </w:pPr>
      <w:r>
        <w:t>答案:A、D、F</w:t>
      </w:r>
    </w:p>
    <w:p>
      <w:pPr>
        <w:spacing w:line="360" w:lineRule="auto" w:after="40"/>
      </w:pPr>
      <w:r>
        <w:t>解析：</w:t>
      </w:r>
    </w:p>
    <w:p>
      <w:pPr>
        <w:spacing w:before="120" w:after="40"/>
      </w:pPr>
      <w:r>
        <w:rPr>
          <w:b/>
          <w:sz w:val="21"/>
          <w:shd w:fill="D6E4F0" w:val="clear"/>
        </w:rPr>
        <w:t>考点</w:t>
      </w:r>
    </w:p>
    <w:p>
      <w:pPr>
        <w:spacing w:line="360" w:lineRule="auto" w:after="40"/>
        <w:ind w:firstLine="420"/>
      </w:pPr>
      <w:r>
        <w:t>变更监控阈值时向委员会提交的支撑文件要素</w:t>
      </w:r>
    </w:p>
    <w:p>
      <w:pPr>
        <w:spacing w:before="120" w:after="40"/>
      </w:pPr>
      <w:r>
        <w:rPr>
          <w:b/>
          <w:sz w:val="21"/>
          <w:shd w:fill="D6E4F0" w:val="clear"/>
        </w:rPr>
        <w:t>核心解析</w:t>
      </w:r>
    </w:p>
    <w:p>
      <w:pPr>
        <w:spacing w:line="360" w:lineRule="auto" w:after="40"/>
        <w:ind w:firstLine="420"/>
      </w:pPr>
      <w:r>
        <w:t>变更交易监控阈值会改变机构的剩余风险——即基于固有风险和控制有效性计算的风险敞口</w:t>
      </w:r>
      <w:r>
        <w:rPr>
          <w:sz w:val="15"/>
          <w:vertAlign w:val="superscript"/>
        </w:rPr>
        <w:t>P279</w:t>
      </w:r>
      <w:r>
        <w:t>。教材要求组织判断剩余风险是否在其风险偏好范围内，若超出则需要制定行动计划</w:t>
      </w:r>
      <w:r>
        <w:rPr>
          <w:sz w:val="15"/>
          <w:vertAlign w:val="superscript"/>
        </w:rPr>
        <w:t>P279</w:t>
      </w:r>
      <w:r>
        <w:t>。因此，提案文件必须证明变更带来的新增剩余风险仍在风险偏好之内（A）。同时，教材指出缺乏适当测试会导致监控场景过时，产生过多误报</w:t>
      </w:r>
      <w:r>
        <w:rPr>
          <w:sz w:val="15"/>
          <w:vertAlign w:val="superscript"/>
        </w:rPr>
        <w:t>P446</w:t>
      </w:r>
      <w:r>
        <w:t>。对当前场景导致过多误报的历史分析（F）是证明变更必要性的直接证据，也符合持续测试和调优的要求</w:t>
      </w:r>
      <w:r>
        <w:rPr>
          <w:sz w:val="15"/>
          <w:vertAlign w:val="superscript"/>
        </w:rPr>
        <w:t>P446</w:t>
      </w:r>
      <w:r>
        <w:t>。此外，合规资源配置是调优的核心考量：减少不必要的案件能释放人工审查资源，使合规团队聚焦高优先级案件</w:t>
      </w:r>
      <w:r>
        <w:rPr>
          <w:sz w:val="15"/>
          <w:vertAlign w:val="superscript"/>
        </w:rPr>
        <w:t>P455</w:t>
      </w:r>
      <w:r>
        <w:t>。文件说明“不会提起诉讼的案件数量以及释放的资源”（D），直接呼应了效率提升和资源合理分配的评估逻辑。三者共同构成向委员会提交的完整支撑——先证明问题存在（F），再说明变更带来的风险可控（A），最后展示释放的资源回报（D）。</w:t>
      </w:r>
    </w:p>
    <w:p>
      <w:pPr>
        <w:spacing w:before="120" w:after="40"/>
      </w:pPr>
      <w:r>
        <w:rPr>
          <w:b/>
          <w:sz w:val="21"/>
          <w:shd w:fill="D6E4F0" w:val="clear"/>
        </w:rPr>
        <w:t>教材原句</w:t>
      </w:r>
    </w:p>
    <w:p>
      <w:pPr>
        <w:spacing w:line="360" w:lineRule="auto" w:after="40"/>
        <w:ind w:firstLine="420"/>
      </w:pPr>
      <w:r>
        <w:t>"The organization will need to develop a control to mitigate this risk, so the residual risk is within risk appetite."</w:t>
      </w:r>
    </w:p>
    <w:p>
      <w:pPr>
        <w:spacing w:before="120" w:after="40"/>
      </w:pPr>
      <w:r>
        <w:rPr>
          <w:b/>
          <w:sz w:val="21"/>
          <w:shd w:fill="D6E4F0" w:val="clear"/>
        </w:rPr>
        <w:t>B项错误</w:t>
      </w:r>
    </w:p>
    <w:p>
      <w:pPr>
        <w:spacing w:line="360" w:lineRule="auto" w:after="40"/>
        <w:ind w:firstLine="420"/>
      </w:pPr>
      <w:r>
        <w:t>MLRO的角色是评估变更可能产生的案件数量并确保团队知情与资源配置</w:t>
      </w:r>
      <w:r>
        <w:rPr>
          <w:sz w:val="15"/>
          <w:vertAlign w:val="superscript"/>
        </w:rPr>
        <w:t>P224</w:t>
      </w:r>
      <w:r>
        <w:t>，而非对提案进行“批准”。教材在治理委员会章节明确将审批决策权归于相关委员会</w:t>
      </w:r>
      <w:r>
        <w:rPr>
          <w:sz w:val="15"/>
          <w:vertAlign w:val="superscript"/>
        </w:rPr>
        <w:t>P294</w:t>
      </w:r>
      <w:r>
        <w:t>，B项将MLRO的咨询评估职能误读为审批职能。</w:t>
      </w:r>
    </w:p>
    <w:p>
      <w:pPr>
        <w:spacing w:before="120" w:after="40"/>
      </w:pPr>
      <w:r>
        <w:rPr>
          <w:b/>
          <w:sz w:val="21"/>
          <w:shd w:fill="D6E4F0" w:val="clear"/>
        </w:rPr>
        <w:t>C项错误</w:t>
      </w:r>
    </w:p>
    <w:p>
      <w:pPr>
        <w:spacing w:line="360" w:lineRule="auto" w:after="40"/>
        <w:ind w:firstLine="420"/>
      </w:pPr>
      <w:r>
        <w:t>教材确实提到低效系统会推高成本、增加人工工作量</w:t>
      </w:r>
      <w:r>
        <w:rPr>
          <w:sz w:val="15"/>
          <w:vertAlign w:val="superscript"/>
        </w:rPr>
        <w:t>P383</w:t>
      </w:r>
      <w:r>
        <w:t>，但C项仅指向当前低阈值投入了多少资源的现状描述，不如F项“历史分析证明当前情形导致过多误报”直接构成变更的动力和证据。在提交委员会的文件中，先证明问题存在比描述现有投入更有说服力。</w:t>
      </w:r>
    </w:p>
    <w:p>
      <w:pPr>
        <w:spacing w:before="120" w:after="40"/>
      </w:pPr>
      <w:r>
        <w:rPr>
          <w:b/>
          <w:sz w:val="21"/>
          <w:shd w:fill="D6E4F0" w:val="clear"/>
        </w:rPr>
        <w:t>E项错误</w:t>
      </w:r>
    </w:p>
    <w:p>
      <w:pPr>
        <w:spacing w:line="360" w:lineRule="auto" w:after="40"/>
        <w:ind w:firstLine="420"/>
      </w:pPr>
      <w:r>
        <w:t>教材建议在引入新技术时“尽早并经常与监管机构沟通”</w:t>
      </w:r>
      <w:r>
        <w:rPr>
          <w:sz w:val="15"/>
          <w:vertAlign w:val="superscript"/>
        </w:rPr>
        <w:t>P387</w:t>
      </w:r>
      <w:r>
        <w:t>，但这属于系统实施过程中的外部沟通策略。题干聚焦的是向内部委员会提交的提案文件，而非监管审批议程。当委员会需要自主判断变更是否合理时，内部数据驱动的证据（如A、D、F）比监管会议纪要更直接匹配决策需求。</w:t>
      </w:r>
    </w:p>
    <w:p>
      <w:pPr>
        <w:spacing w:before="120" w:after="40"/>
      </w:pPr>
      <w:r>
        <w:rPr>
          <w:b/>
          <w:sz w:val="21"/>
          <w:shd w:fill="D6E4F0" w:val="clear"/>
        </w:rPr>
        <w:t>易错提醒</w:t>
      </w:r>
    </w:p>
    <w:p>
      <w:pPr>
        <w:spacing w:line="360" w:lineRule="auto" w:after="40"/>
        <w:ind w:firstLine="420"/>
      </w:pPr>
      <w:r>
        <w:t>MLRO负责评估变更影响和资源配置</w:t>
      </w:r>
      <w:r>
        <w:rPr>
          <w:sz w:val="15"/>
          <w:vertAlign w:val="superscript"/>
        </w:rPr>
        <w:t>P224</w:t>
      </w:r>
      <w:r>
        <w:t>，但变更的正式批准权在治理委员会</w:t>
      </w:r>
      <w:r>
        <w:rPr>
          <w:sz w:val="15"/>
          <w:vertAlign w:val="superscript"/>
        </w:rPr>
        <w:t>P294</w:t>
      </w:r>
      <w:r>
        <w:t>。两者角色不同——前者是操作层面的准备，后者是治理层面的决策。</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