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w:t>
      </w:r>
    </w:p>
    <w:p>
      <w:pPr>
        <w:spacing w:line="360" w:lineRule="auto" w:after="160"/>
      </w:pPr>
      <w:r>
        <w:t>一、单项选择题</w:t>
      </w:r>
    </w:p>
    <w:p>
      <w:pPr>
        <w:spacing w:line="360" w:lineRule="auto" w:after="40"/>
      </w:pPr>
      <w:r>
        <w:t>1. 一家大型国际银行正在对其风险管理框架进行全面审查，以确保其能有效应对各类金融犯罪风险，包括反洗钱、打击资助恐怖主义、制裁、欺诈、反贿赂与反腐败（ABC）以及逃税。银行的合规团队负责评估当前的风险评估流程，识别潜在的漏洞，并提出改进措施以更好地降低这些风险。在此次审查过程中，团队需要考虑不同类型的风险评估以及如何将评估结果整合到整体的风险管理策略中。合规团队应优先采取哪种方法来提高银行识别、评估和降低已识别风险的能力？ ( )</w:t>
      </w:r>
    </w:p>
    <w:p>
      <w:pPr>
        <w:spacing w:line="360" w:lineRule="auto" w:after="20"/>
        <w:ind w:firstLine="283"/>
      </w:pPr>
      <w:r>
        <w:t>A. 采用静态风险评估模型，在出现重大监管更新之前保持不变，以确保评估过程在一段时间内的连贯性。</w:t>
      </w:r>
    </w:p>
    <w:p>
      <w:pPr>
        <w:spacing w:line="360" w:lineRule="auto" w:after="20"/>
        <w:ind w:firstLine="283"/>
      </w:pPr>
      <w:r>
        <w:t>B. 将风险评估流程委托给各个业务部门独立进行，并允许针对每个部门的具体活动进行专门评估。</w:t>
      </w:r>
    </w:p>
    <w:p>
      <w:pPr>
        <w:spacing w:line="360" w:lineRule="auto" w:after="20"/>
        <w:ind w:firstLine="283"/>
      </w:pPr>
      <w:r>
        <w:t>C. 定期开展企业范围的风险评估，包括识别固有风险、评估现有控制措施的有效性以及确定剩余风险。</w:t>
      </w:r>
    </w:p>
    <w:p>
      <w:pPr>
        <w:spacing w:line="360" w:lineRule="auto" w:after="20"/>
        <w:ind w:firstLine="283"/>
      </w:pPr>
      <w:r>
        <w:t>D. 主要关注反洗钱风险评估，因为这些通常最受监管机构审查，而仅在发现问题时处理其他金融犯罪风险。</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企业范围风险评估（EWRA）的定义与核心流程</w:t>
      </w:r>
    </w:p>
    <w:p>
      <w:pPr>
        <w:spacing w:before="120" w:after="40"/>
      </w:pPr>
      <w:r>
        <w:rPr>
          <w:b/>
          <w:sz w:val="21"/>
          <w:shd w:fill="D6E4F0" w:val="clear"/>
        </w:rPr>
        <w:t>核心解析</w:t>
      </w:r>
    </w:p>
    <w:p>
      <w:pPr>
        <w:spacing w:line="360" w:lineRule="auto" w:after="40"/>
        <w:ind w:firstLine="420"/>
      </w:pPr>
      <w:r>
        <w:t>企业范围风险评估（EWRA）是一种识别固有风险、评估现有控制措施的有效性并确定组织所面临的剩余风险的过程，该过程有助于组织设计其反洗钱/反恐怖融资框架</w:t>
      </w:r>
      <w:r>
        <w:rPr>
          <w:sz w:val="15"/>
          <w:vertAlign w:val="superscript"/>
        </w:rPr>
        <w:t>P285</w:t>
      </w:r>
      <w:r>
        <w:t>。题干中，银行正在审查其风险管理框架，以应对包括反洗钱、制裁等在内的多种金融犯罪风险，目标是提高识别、评估和降低这些风险的能力。选项C描述的“定期开展企业范围的风险评估，包括识别固有风险、评估现有控制措施的有效性以及确定剩余风险”，在“识别—评估控制—确定剩余风险”的流程上，与教材定义的EWRA核心步骤完全吻合</w:t>
      </w:r>
      <w:r>
        <w:rPr>
          <w:sz w:val="15"/>
          <w:vertAlign w:val="superscript"/>
        </w:rPr>
        <w:t>P285</w:t>
      </w:r>
      <w:r>
        <w:t>。此外，教材也明确EWRA流程始于确定固有风险、评估控制有效性并计算剩余风险</w:t>
      </w:r>
      <w:r>
        <w:rPr>
          <w:sz w:val="15"/>
          <w:vertAlign w:val="superscript"/>
        </w:rPr>
        <w:t>P268</w:t>
      </w:r>
      <w:r>
        <w:t>。因此，定期开展包含这三步的评估，直接匹配题干中“提升识别、评估和降低风险能力”的要求，是合规团队应采取的最优方法。</w:t>
      </w:r>
    </w:p>
    <w:p>
      <w:pPr>
        <w:spacing w:before="120" w:after="40"/>
      </w:pPr>
      <w:r>
        <w:rPr>
          <w:b/>
          <w:sz w:val="21"/>
          <w:shd w:fill="D6E4F0" w:val="clear"/>
        </w:rPr>
        <w:t>A项错误</w:t>
      </w:r>
    </w:p>
    <w:p>
      <w:pPr>
        <w:spacing w:line="360" w:lineRule="auto" w:after="40"/>
        <w:ind w:firstLine="420"/>
      </w:pPr>
      <w:r>
        <w:t>教材指出金融犯罪风险是动态且不断演变的，组织必须持续评估风险以适应变化</w:t>
      </w:r>
      <w:r>
        <w:rPr>
          <w:sz w:val="15"/>
          <w:vertAlign w:val="superscript"/>
        </w:rPr>
        <w:t>P283</w:t>
      </w:r>
      <w:r>
        <w:t>。新加坡金管局的案例显示，未更新企业级风险评估，采用静态风险模型会导致未能发现金融犯罪风险</w:t>
      </w:r>
      <w:r>
        <w:rPr>
          <w:sz w:val="15"/>
          <w:vertAlign w:val="superscript"/>
        </w:rPr>
        <w:t>P265</w:t>
      </w:r>
      <w:r>
        <w:t>。相比之下，题干描述的是一种全面的审查和改进过程，持续更新的动态评估比一次性的静态模型更匹配这一目标。</w:t>
      </w:r>
    </w:p>
    <w:p>
      <w:pPr>
        <w:spacing w:before="120" w:after="40"/>
      </w:pPr>
      <w:r>
        <w:rPr>
          <w:b/>
          <w:sz w:val="21"/>
          <w:shd w:fill="D6E4F0" w:val="clear"/>
        </w:rPr>
        <w:t>B项错误</w:t>
      </w:r>
    </w:p>
    <w:p>
      <w:pPr>
        <w:spacing w:line="360" w:lineRule="auto" w:after="40"/>
        <w:ind w:firstLine="420"/>
      </w:pPr>
      <w:r>
        <w:t>企业范围风险评估（EWRA）是一种评估组织面临的所有风险的“主要风险评估类型”</w:t>
      </w:r>
      <w:r>
        <w:rPr>
          <w:sz w:val="15"/>
          <w:vertAlign w:val="superscript"/>
        </w:rPr>
        <w:t>P269</w:t>
      </w:r>
      <w:r>
        <w:t>，它确保组织在各业务线中“系统性”地识别和评估风险</w:t>
      </w:r>
      <w:r>
        <w:rPr>
          <w:sz w:val="15"/>
          <w:vertAlign w:val="superscript"/>
        </w:rPr>
        <w:t>P158</w:t>
      </w:r>
      <w:r>
        <w:t>。将风险评估完全委托给各个业务部门独立进行，缺乏企业层面的整合与系统性，不如一个定期开展、覆盖全机构的评估流程（C项）更能满足题干中“整合到整体风险管理策略中”的需求。</w:t>
      </w:r>
    </w:p>
    <w:p>
      <w:pPr>
        <w:spacing w:before="120" w:after="40"/>
      </w:pPr>
      <w:r>
        <w:rPr>
          <w:b/>
          <w:sz w:val="21"/>
          <w:shd w:fill="D6E4F0" w:val="clear"/>
        </w:rPr>
        <w:t>D项错误</w:t>
      </w:r>
    </w:p>
    <w:p>
      <w:pPr>
        <w:spacing w:line="360" w:lineRule="auto" w:after="40"/>
        <w:ind w:firstLine="420"/>
      </w:pPr>
      <w:r>
        <w:t>教材指出，企业全面风险评估的金融犯罪防控部分本身就涵盖了洗钱、恐怖融资、制裁、逃税、贿赂与腐败等多种犯罪类型</w:t>
      </w:r>
      <w:r>
        <w:rPr>
          <w:sz w:val="15"/>
          <w:vertAlign w:val="superscript"/>
        </w:rPr>
        <w:t>P269</w:t>
      </w:r>
      <w:r>
        <w:t>。仅优先关注反洗钱风险，而在发现问题时才处理其他风险，与教材中EWRA应全面覆盖各类金融犯罪风险的定位相比，其覆盖范围有所欠缺，未能呼应题干中同时应对多种金融犯罪风险的审查要求。</w:t>
      </w:r>
    </w:p>
    <w:p>
      <w:pPr>
        <w:spacing w:before="120" w:after="40"/>
      </w:pPr>
      <w:r>
        <w:rPr>
          <w:b/>
          <w:sz w:val="21"/>
          <w:shd w:fill="D6E4F0" w:val="clear"/>
        </w:rPr>
        <w:t>易错提醒</w:t>
      </w:r>
    </w:p>
    <w:p>
      <w:pPr>
        <w:spacing w:line="360" w:lineRule="auto" w:after="40"/>
        <w:ind w:firstLine="420"/>
      </w:pPr>
      <w:r>
        <w:t>学生容易混淆企业范围风险评估（EWRA）与客户风险评估（CRA）。EWRA是站在整个组织层面识别固有风险、评估控制并计算剩余风险的宏观过程</w:t>
      </w:r>
      <w:r>
        <w:rPr>
          <w:sz w:val="15"/>
          <w:vertAlign w:val="superscript"/>
        </w:rPr>
        <w:t>P285</w:t>
      </w:r>
      <w:r>
        <w:t>，而CRA是针对单个客户评估其风险因素并分配风险等级</w:t>
      </w:r>
      <w:r>
        <w:rPr>
          <w:sz w:val="15"/>
          <w:vertAlign w:val="superscript"/>
        </w:rPr>
        <w:t>P285</w:t>
      </w:r>
      <w:r>
        <w:t>。题干问的是银行“风险管理框架”的层面，并非针对某个客户的评估。</w:t>
      </w:r>
    </w:p>
    <w:p>
      <w:pPr>
        <w:spacing w:line="360" w:lineRule="auto" w:after="120"/>
      </w:pPr>
      <w:r/>
    </w:p>
    <w:p>
      <w:pPr>
        <w:spacing w:line="360" w:lineRule="auto" w:after="40"/>
      </w:pPr>
      <w:r>
        <w:t>2. 一家金融机构正在设计一项企业范围的风险评估（EWRA）。根据沃尔夫斯堡集团发布的关于基于风险的方法来识别和管理洗钱风险的指导，一种有效的方法应当： ( )</w:t>
      </w:r>
    </w:p>
    <w:p>
      <w:pPr>
        <w:spacing w:line="360" w:lineRule="auto" w:after="20"/>
        <w:ind w:firstLine="283"/>
      </w:pPr>
      <w:r>
        <w:t>A. 在评估期内，重点关注新客户带来的风险，并了解用于降低相关洗钱风险的控制措施。</w:t>
      </w:r>
    </w:p>
    <w:p>
      <w:pPr>
        <w:spacing w:line="360" w:lineRule="auto" w:after="20"/>
        <w:ind w:firstLine="283"/>
      </w:pPr>
      <w:r>
        <w:t>B. 应采取适当措施和控制手段，以降低来自高风险客户、产品和地区的洗钱风险。</w:t>
      </w:r>
    </w:p>
    <w:p>
      <w:pPr>
        <w:spacing w:line="360" w:lineRule="auto" w:after="20"/>
        <w:ind w:firstLine="283"/>
      </w:pPr>
      <w:r>
        <w:t>C. 关注金融机构产品和服务提供的固有风险以及为降低潜在洗钱风险所采取的控制措施。</w:t>
      </w:r>
    </w:p>
    <w:p>
      <w:pPr>
        <w:spacing w:line="360" w:lineRule="auto" w:after="20"/>
        <w:ind w:firstLine="283"/>
      </w:pPr>
      <w:r>
        <w:t>D. 使用由第三方供应商提供的框架，该框架在该司法管辖区内的其他金融机构中也有使用。</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EWRA 的核心在于识别固有风险并评估控制措施</w:t>
      </w:r>
    </w:p>
    <w:p>
      <w:pPr>
        <w:spacing w:before="120" w:after="40"/>
      </w:pPr>
      <w:r>
        <w:rPr>
          <w:b/>
          <w:sz w:val="21"/>
          <w:shd w:fill="D6E4F0" w:val="clear"/>
        </w:rPr>
        <w:t>核心解析</w:t>
      </w:r>
    </w:p>
    <w:p>
      <w:pPr>
        <w:spacing w:line="360" w:lineRule="auto" w:after="40"/>
        <w:ind w:firstLine="420"/>
      </w:pPr>
      <w:r>
        <w:t>全机构风险评估（EWRA）定义为识别固有风险、评估控制措施并确定剩余风险的过程</w:t>
      </w:r>
      <w:r>
        <w:rPr>
          <w:sz w:val="15"/>
          <w:vertAlign w:val="superscript"/>
        </w:rPr>
        <w:t>P285</w:t>
      </w:r>
      <w:r>
        <w:t>。其第一步就是确定固有风险，第二步评估控制有效性，然后才计算剩余风险</w:t>
      </w:r>
      <w:r>
        <w:rPr>
          <w:sz w:val="15"/>
          <w:vertAlign w:val="superscript"/>
        </w:rPr>
        <w:t>P268</w:t>
      </w:r>
      <w:r>
        <w:t>。题干要求选出基于风险的方法管理洗钱风险的有效方式，C选项直接对应此框架：先关注产品和服务带来的固有风险，再关注为降低潜在洗钱风险所采取的控制措施，吻合EWRA的定义与流程。</w:t>
      </w:r>
    </w:p>
    <w:p>
      <w:pPr>
        <w:spacing w:before="120" w:after="40"/>
      </w:pPr>
      <w:r>
        <w:rPr>
          <w:b/>
          <w:sz w:val="21"/>
          <w:shd w:fill="D6E4F0" w:val="clear"/>
        </w:rPr>
        <w:t>A项错误</w:t>
      </w:r>
    </w:p>
    <w:p>
      <w:pPr>
        <w:spacing w:line="360" w:lineRule="auto" w:after="40"/>
        <w:ind w:firstLine="420"/>
      </w:pPr>
      <w:r>
        <w:t>EWRA考虑的是客户、地域、产品和渠道的整体风险</w:t>
      </w:r>
      <w:r>
        <w:rPr>
          <w:sz w:val="15"/>
          <w:vertAlign w:val="superscript"/>
        </w:rPr>
        <w:t>P268</w:t>
      </w:r>
      <w:r>
        <w:t>，并非仅限新客户。A选项缩小了评估范围，与EWRA要求覆盖全机构固有风险的特征相比，匹配度不足。</w:t>
      </w:r>
    </w:p>
    <w:p>
      <w:pPr>
        <w:spacing w:before="120" w:after="40"/>
      </w:pPr>
      <w:r>
        <w:rPr>
          <w:b/>
          <w:sz w:val="21"/>
          <w:shd w:fill="D6E4F0" w:val="clear"/>
        </w:rPr>
        <w:t>B项错误</w:t>
      </w:r>
    </w:p>
    <w:p>
      <w:pPr>
        <w:spacing w:line="360" w:lineRule="auto" w:after="40"/>
        <w:ind w:firstLine="420"/>
      </w:pPr>
      <w:r>
        <w:t>B选项只涉及降低高风险客户、产品和地区的洗钱风险，属于风险应对环节的局部动作。而EWRA的有效方法必须始于固有风险的识别与控制评估</w:t>
      </w:r>
      <w:r>
        <w:rPr>
          <w:sz w:val="15"/>
          <w:vertAlign w:val="superscript"/>
        </w:rPr>
        <w:t>P285</w:t>
      </w:r>
      <w:r>
        <w:t>，B缺失了前半段核心步骤，不如C选项完整对应教材框架。</w:t>
      </w:r>
    </w:p>
    <w:p>
      <w:pPr>
        <w:spacing w:before="120" w:after="40"/>
      </w:pPr>
      <w:r>
        <w:rPr>
          <w:b/>
          <w:sz w:val="21"/>
          <w:shd w:fill="D6E4F0" w:val="clear"/>
        </w:rPr>
        <w:t>D项错误</w:t>
      </w:r>
    </w:p>
    <w:p>
      <w:pPr>
        <w:spacing w:line="360" w:lineRule="auto" w:after="40"/>
        <w:ind w:firstLine="420"/>
      </w:pPr>
      <w:r>
        <w:t>教材中EWRA需由机构根据自身情况定制</w:t>
      </w:r>
      <w:r>
        <w:rPr>
          <w:sz w:val="15"/>
          <w:vertAlign w:val="superscript"/>
        </w:rPr>
        <w:t>P268</w:t>
      </w:r>
      <w:r>
        <w:t>，并未要求或优先采用第三方供应商框架。题目未提供任何关于合规或行业标准强制使用某类框架的信息，D选项缺乏教材依据。</w:t>
      </w:r>
    </w:p>
    <w:p>
      <w:pPr>
        <w:spacing w:before="120" w:after="40"/>
      </w:pPr>
      <w:r>
        <w:rPr>
          <w:b/>
          <w:sz w:val="21"/>
          <w:shd w:fill="D6E4F0" w:val="clear"/>
        </w:rPr>
        <w:t>易错提醒</w:t>
      </w:r>
    </w:p>
    <w:p>
      <w:pPr>
        <w:spacing w:line="360" w:lineRule="auto" w:after="40"/>
        <w:ind w:firstLine="420"/>
      </w:pPr>
      <w:r>
        <w:t>EWRA识别全机构的固有风险与控制，而CRA（客户风险评估）针对单个客户分配风险评级并决定CDD层级</w:t>
      </w:r>
      <w:r>
        <w:rPr>
          <w:sz w:val="15"/>
          <w:vertAlign w:val="superscript"/>
        </w:rPr>
        <w:t>P285</w:t>
      </w:r>
      <w:r>
        <w:t>。题干问的是企业范围的风险评估，考察的是EWRA，而不是CRA。</w:t>
      </w:r>
    </w:p>
    <w:p>
      <w:pPr>
        <w:spacing w:line="360" w:lineRule="auto" w:after="120"/>
      </w:pPr>
      <w:r/>
    </w:p>
    <w:p>
      <w:pPr>
        <w:spacing w:line="360" w:lineRule="auto" w:after="40"/>
      </w:pPr>
      <w:r>
        <w:t>3. 金融机构(FI)的哪些变化应触发对其固有反洗钱风险口的全企业范围重新评估？(选择三项.) ( )</w:t>
      </w:r>
    </w:p>
    <w:p>
      <w:pPr>
        <w:spacing w:line="360" w:lineRule="auto" w:after="20"/>
        <w:ind w:firstLine="283"/>
      </w:pPr>
      <w:r>
        <w:t>A. 新产品或新服务的介绍</w:t>
      </w:r>
    </w:p>
    <w:p>
      <w:pPr>
        <w:spacing w:line="360" w:lineRule="auto" w:after="20"/>
        <w:ind w:firstLine="283"/>
      </w:pPr>
      <w:r>
        <w:t>B. 合并与收购</w:t>
      </w:r>
    </w:p>
    <w:p>
      <w:pPr>
        <w:spacing w:line="360" w:lineRule="auto" w:after="20"/>
        <w:ind w:firstLine="283"/>
      </w:pPr>
      <w:r>
        <w:t>C. 金融机构风险与合规职能的重组</w:t>
      </w:r>
    </w:p>
    <w:p>
      <w:pPr>
        <w:spacing w:line="360" w:lineRule="auto" w:after="20"/>
        <w:ind w:firstLine="283"/>
      </w:pPr>
      <w:r>
        <w:t>D. 利用新技术提供现有产品</w:t>
      </w:r>
    </w:p>
    <w:p>
      <w:pPr>
        <w:spacing w:line="360" w:lineRule="auto" w:after="20"/>
        <w:ind w:firstLine="283"/>
      </w:pPr>
      <w:r>
        <w:t>E. 负责金融机构产品线和销售策略的个人发生变动</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识别触发全企业风险评估的业务重大变化</w:t>
      </w:r>
    </w:p>
    <w:p>
      <w:pPr>
        <w:spacing w:before="120" w:after="40"/>
      </w:pPr>
      <w:r>
        <w:rPr>
          <w:b/>
          <w:sz w:val="21"/>
          <w:shd w:fill="D6E4F0" w:val="clear"/>
        </w:rPr>
        <w:t>核心解析</w:t>
      </w:r>
    </w:p>
    <w:p>
      <w:pPr>
        <w:spacing w:line="360" w:lineRule="auto" w:after="40"/>
        <w:ind w:firstLine="420"/>
      </w:pPr>
      <w:r>
        <w:t>教材规定：组织在业务发生重大变化时必须重新评估风险，包括高风险产品、进入新市场或运营所在司法管辖区变化</w:t>
      </w:r>
      <w:r>
        <w:rPr>
          <w:sz w:val="15"/>
          <w:vertAlign w:val="superscript"/>
        </w:rPr>
        <w:t>P283</w:t>
      </w:r>
      <w:r>
        <w:t>。题干问的是哪些变化应触发对固有反洗钱风险敞口的全企业范围重新评估，核心在于“业务本身是否发生了实质性变化”。A项新产品或服务直接改变机构的风险面貌，属于教材明确列举的重大变化类型（P287要求新产品推出前评估、之后定期审查）。B项合并与收购涉及公司或资产整合，往往伴随大额资金和复杂财务安排</w:t>
      </w:r>
      <w:r>
        <w:rPr>
          <w:sz w:val="15"/>
          <w:vertAlign w:val="superscript"/>
        </w:rPr>
        <w:t>P77</w:t>
      </w:r>
      <w:r>
        <w:t>，教材在风险偏好语境下举例说明合并会导致风险偏好改变、纳入高风险活动</w:t>
      </w:r>
      <w:r>
        <w:rPr>
          <w:sz w:val="15"/>
          <w:vertAlign w:val="superscript"/>
        </w:rPr>
        <w:t>P271</w:t>
      </w:r>
      <w:r>
        <w:t>，这是典型的业务结构性变化。D项利用新技术提供现有产品属于组织运营方式的变化，教材明确将“产品线变更或转向线上业务”列为触发审查的变化</w:t>
      </w:r>
      <w:r>
        <w:rPr>
          <w:sz w:val="15"/>
          <w:vertAlign w:val="superscript"/>
        </w:rPr>
        <w:t>P284</w:t>
      </w:r>
      <w:r>
        <w:t>，新技术可能引入新的漏洞和风险敞口。三者均直接改变了机构业务的实质内容、渠道或结构，由此可能引入新的洗钱/恐怖融资风险，因而触发全企业范围重新评估的要求。</w:t>
      </w:r>
    </w:p>
    <w:p>
      <w:pPr>
        <w:spacing w:before="120" w:after="40"/>
      </w:pPr>
      <w:r>
        <w:rPr>
          <w:b/>
          <w:sz w:val="21"/>
          <w:shd w:fill="D6E4F0" w:val="clear"/>
        </w:rPr>
        <w:t>教材原句</w:t>
      </w:r>
    </w:p>
    <w:p>
      <w:pPr>
        <w:spacing w:line="360" w:lineRule="auto" w:after="40"/>
        <w:ind w:firstLine="420"/>
      </w:pPr>
      <w:r>
        <w:t>"Organizations must reevaluate risks whenever there is a material change to their business. This could include higher-risk product offerings, entering a new market, or changes in jurisdictions where the organization operates."</w:t>
      </w:r>
    </w:p>
    <w:p>
      <w:pPr>
        <w:spacing w:before="120" w:after="40"/>
      </w:pPr>
      <w:r>
        <w:rPr>
          <w:b/>
          <w:sz w:val="21"/>
          <w:shd w:fill="D6E4F0" w:val="clear"/>
        </w:rPr>
        <w:t>C项错误</w:t>
      </w:r>
    </w:p>
    <w:p>
      <w:pPr>
        <w:spacing w:line="360" w:lineRule="auto" w:after="40"/>
        <w:ind w:firstLine="420"/>
      </w:pPr>
      <w:r>
        <w:t>“风险与合规职能的重组”属于内部控制结构的调整。教材提到“系统或控制措施发生变化”时应重点关注</w:t>
      </w:r>
      <w:r>
        <w:rPr>
          <w:sz w:val="15"/>
          <w:vertAlign w:val="superscript"/>
        </w:rPr>
        <w:t>P274</w:t>
      </w:r>
      <w:r>
        <w:t>，但重在改善职能结构、促进信息共享</w:t>
      </w:r>
      <w:r>
        <w:rPr>
          <w:sz w:val="15"/>
          <w:vertAlign w:val="superscript"/>
        </w:rPr>
        <w:t>P256</w:t>
      </w:r>
      <w:r>
        <w:t>，而非直接改变机构对外提供的业务性质。相比之下，题干更直接匹配业务本身发生的变化，而非内部职能如何组织。</w:t>
      </w:r>
    </w:p>
    <w:p>
      <w:pPr>
        <w:spacing w:before="120" w:after="40"/>
      </w:pPr>
      <w:r>
        <w:rPr>
          <w:b/>
          <w:sz w:val="21"/>
          <w:shd w:fill="D6E4F0" w:val="clear"/>
        </w:rPr>
        <w:t>E项错误</w:t>
      </w:r>
    </w:p>
    <w:p>
      <w:pPr>
        <w:spacing w:line="360" w:lineRule="auto" w:after="40"/>
        <w:ind w:firstLine="420"/>
      </w:pPr>
      <w:r>
        <w:t>“负责产品线和销售策略的个人发生变动”属于人事变动，教材列举的触发因素聚焦于交易模式偏离、新产品请求、客户行业变化等客观风险指标的改变（P283-284）。人事变动可能改变产品策略，但在教材框架下不如业务本身发生变化来得直接。</w:t>
      </w:r>
    </w:p>
    <w:p>
      <w:pPr>
        <w:spacing w:before="120" w:after="40"/>
      </w:pPr>
      <w:r>
        <w:rPr>
          <w:b/>
          <w:sz w:val="21"/>
          <w:shd w:fill="D6E4F0" w:val="clear"/>
        </w:rPr>
        <w:t>易错提醒</w:t>
      </w:r>
    </w:p>
    <w:p>
      <w:pPr>
        <w:spacing w:line="360" w:lineRule="auto" w:after="40"/>
        <w:ind w:firstLine="420"/>
      </w:pPr>
      <w:r>
        <w:t>关键在于区分“业务自身变化”与“内部管理调整”。教材要求重新评估的触发条件是业务发生重大变化——即机构对外提供的产品、服务、渠道、市场或结构发生实质性改变</w:t>
      </w:r>
      <w:r>
        <w:rPr>
          <w:sz w:val="15"/>
          <w:vertAlign w:val="superscript"/>
        </w:rPr>
        <w:t>P283</w:t>
      </w:r>
      <w:r>
        <w:t>。内部职能重组或人事变动可能间接影响风险状况，但教材框架下不如产品、渠道、并购等直接改变风险暴露面的变化更匹配“全企业范围重新评估”的触发条件。</w:t>
      </w:r>
    </w:p>
    <w:p>
      <w:pPr>
        <w:spacing w:line="360" w:lineRule="auto" w:after="120"/>
      </w:pPr>
      <w:r/>
    </w:p>
    <w:p>
      <w:pPr>
        <w:spacing w:line="360" w:lineRule="auto" w:after="40"/>
      </w:pPr>
      <w:r>
        <w:t>4. 保险公司提供的产品在评估其洗钱风险脆弱性时通常会考虑哪些属性？(选择三项.) ( )</w:t>
      </w:r>
    </w:p>
    <w:p>
      <w:pPr>
        <w:spacing w:line="360" w:lineRule="auto" w:after="20"/>
        <w:ind w:firstLine="283"/>
      </w:pPr>
      <w:r>
        <w:t>A. 目的与预期用途</w:t>
      </w:r>
    </w:p>
    <w:p>
      <w:pPr>
        <w:spacing w:line="360" w:lineRule="auto" w:after="20"/>
        <w:ind w:firstLine="283"/>
      </w:pPr>
      <w:r>
        <w:t>B. 流动性</w:t>
      </w:r>
    </w:p>
    <w:p>
      <w:pPr>
        <w:spacing w:line="360" w:lineRule="auto" w:after="20"/>
        <w:ind w:firstLine="283"/>
      </w:pPr>
      <w:r>
        <w:t>C. 受益人的年龄</w:t>
      </w:r>
    </w:p>
    <w:p>
      <w:pPr>
        <w:spacing w:line="360" w:lineRule="auto" w:after="20"/>
        <w:ind w:firstLine="283"/>
      </w:pPr>
      <w:r>
        <w:t>D. 客户匿名或第三方交易</w:t>
      </w:r>
    </w:p>
    <w:p>
      <w:pPr>
        <w:spacing w:line="360" w:lineRule="auto" w:after="20"/>
        <w:ind w:firstLine="283"/>
      </w:pPr>
      <w:r>
        <w:t>E. 等待期时长</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产品风险评估中需考虑的固有产品特征与风险属性</w:t>
      </w:r>
    </w:p>
    <w:p>
      <w:pPr>
        <w:spacing w:before="120" w:after="40"/>
      </w:pPr>
      <w:r>
        <w:rPr>
          <w:b/>
          <w:sz w:val="21"/>
          <w:shd w:fill="D6E4F0" w:val="clear"/>
        </w:rPr>
        <w:t>核心解析</w:t>
      </w:r>
    </w:p>
    <w:p>
      <w:pPr>
        <w:spacing w:line="360" w:lineRule="auto" w:after="40"/>
        <w:ind w:firstLine="420"/>
      </w:pPr>
      <w:r>
        <w:t>教材在论述产品风险评估时，列举了组织应考虑的多种因素，包括“固有产品特征”，如跨境支付、第三方支付、匿名性等</w:t>
      </w:r>
      <w:r>
        <w:rPr>
          <w:sz w:val="15"/>
          <w:vertAlign w:val="superscript"/>
        </w:rPr>
        <w:t>P286</w:t>
      </w:r>
      <w:r>
        <w:t>。教材同时指出，保险业固有洗钱风险低于银行业，原因之一是保险产品“流动性较低”</w:t>
      </w:r>
      <w:r>
        <w:rPr>
          <w:sz w:val="15"/>
          <w:vertAlign w:val="superscript"/>
        </w:rPr>
        <w:t>P101</w:t>
      </w:r>
      <w:r>
        <w:t>。此外，产品和渠道风险评估能够帮助组织“检测产品预期用途的偏离”，从而识别新威胁或风险</w:t>
      </w:r>
      <w:r>
        <w:rPr>
          <w:sz w:val="15"/>
          <w:vertAlign w:val="superscript"/>
        </w:rPr>
        <w:t>P284</w:t>
      </w:r>
      <w:r>
        <w:t>。由此可推断，在评估保险产品的洗钱风险脆弱性时，产品的目的与预期用途、流动性、客户匿名或第三方交易均属应被考虑的核心属性。选项A对应预期用途维度，B对应流动性维度，D对应匿名性与第三方交易维度，三者均直接落入上述三个教材框架之内。</w:t>
      </w:r>
    </w:p>
    <w:p>
      <w:pPr>
        <w:spacing w:before="120" w:after="40"/>
      </w:pPr>
      <w:r>
        <w:rPr>
          <w:b/>
          <w:sz w:val="21"/>
          <w:shd w:fill="D6E4F0" w:val="clear"/>
        </w:rPr>
        <w:t>C项错误</w:t>
      </w:r>
    </w:p>
    <w:p>
      <w:pPr>
        <w:spacing w:line="360" w:lineRule="auto" w:after="40"/>
        <w:ind w:firstLine="420"/>
      </w:pPr>
      <w:r>
        <w:t>教材在客户身份识别程序中将“出生日期”列为验证客户身份的基础信息之一，用于确认年龄和身份合法性</w:t>
      </w:r>
      <w:r>
        <w:rPr>
          <w:sz w:val="15"/>
          <w:vertAlign w:val="superscript"/>
        </w:rPr>
        <w:t>P309</w:t>
      </w:r>
      <w:r>
        <w:t>。这在教材框架中属于客户尽职调查层面的要素，而非产品风险评估层面。题干考察的是“产品”属性的洗钱风险脆弱性，相比之下，目的与预期用途、流动性、匿名性与第三方交易等属性更直接地分布在产品风险的评估框架内。</w:t>
      </w:r>
    </w:p>
    <w:p>
      <w:pPr>
        <w:spacing w:before="120" w:after="40"/>
      </w:pPr>
      <w:r>
        <w:rPr>
          <w:b/>
          <w:sz w:val="21"/>
          <w:shd w:fill="D6E4F0" w:val="clear"/>
        </w:rPr>
        <w:t>E项错误</w:t>
      </w:r>
    </w:p>
    <w:p>
      <w:pPr>
        <w:spacing w:line="360" w:lineRule="auto" w:after="40"/>
        <w:ind w:firstLine="420"/>
      </w:pPr>
      <w:r>
        <w:t>教材在论述保险业洗钱风险时，列举了高现金价值、灵活缴费选项等产品特征作为风险指标</w:t>
      </w:r>
      <w:r>
        <w:rPr>
          <w:sz w:val="15"/>
          <w:vertAlign w:val="superscript"/>
        </w:rPr>
        <w:t>P101</w:t>
      </w:r>
      <w:r>
        <w:t>，但未将“等待期时长”纳入衡量产品洗钱风险脆弱性的属性范畴。相比之下，流动性在教材P101被直接用作比较保险业与银行业风险差异的维度，在教材框架下与题干的匹配度更高。</w:t>
      </w:r>
    </w:p>
    <w:p>
      <w:pPr>
        <w:spacing w:before="120" w:after="40"/>
      </w:pPr>
      <w:r>
        <w:rPr>
          <w:b/>
          <w:sz w:val="21"/>
          <w:shd w:fill="D6E4F0" w:val="clear"/>
        </w:rPr>
        <w:t>易错提醒</w:t>
      </w:r>
    </w:p>
    <w:p>
      <w:pPr>
        <w:spacing w:line="360" w:lineRule="auto" w:after="40"/>
        <w:ind w:firstLine="420"/>
      </w:pPr>
      <w:r>
        <w:t>产品风险评估关注产品本身的固有特征（匿名性、流动性、第三方交易、预期用途等，P286/P101/P284），客户尽职调查关注客户的身份信息（姓名、出生日期、住址等，P309）。题干所问的是“产品”属性而非“客户”属性，区分产品端和客户端两类评估维度有助于避免错选客户层面的要素。</w:t>
      </w:r>
    </w:p>
    <w:p>
      <w:pPr>
        <w:spacing w:line="360" w:lineRule="auto" w:after="120"/>
      </w:pPr>
      <w:r/>
    </w:p>
    <w:p>
      <w:pPr>
        <w:spacing w:line="360" w:lineRule="auto" w:after="40"/>
      </w:pPr>
      <w:r>
        <w:t>5. 一位潜在客户走进一家会计事务所，想要成立一家公司。会面结束后，会计感觉很不自在。会计人员的哪两项观察结果需要上报给合规官？（选择两项。） ( )</w:t>
      </w:r>
    </w:p>
    <w:p>
      <w:pPr>
        <w:spacing w:line="360" w:lineRule="auto" w:after="20"/>
        <w:ind w:firstLine="283"/>
      </w:pPr>
      <w:r>
        <w:t>A. 拟成立公司的主要业务为进口和出口新家具。</w:t>
      </w:r>
    </w:p>
    <w:p>
      <w:pPr>
        <w:spacing w:line="360" w:lineRule="auto" w:after="20"/>
        <w:ind w:firstLine="283"/>
      </w:pPr>
      <w:r>
        <w:t>B. 潜在客户对拟议业务的细节描述含混不清，并且对拟议的业务活动知之甚少。</w:t>
      </w:r>
    </w:p>
    <w:p>
      <w:pPr>
        <w:spacing w:line="360" w:lineRule="auto" w:after="20"/>
        <w:ind w:firstLine="283"/>
      </w:pPr>
      <w:r>
        <w:t>C. 潜在客户无法提供有关受益所有人的信息。</w:t>
      </w:r>
    </w:p>
    <w:p>
      <w:pPr>
        <w:spacing w:line="360" w:lineRule="auto" w:after="20"/>
        <w:ind w:firstLine="283"/>
      </w:pPr>
      <w:r>
        <w:t>D. 当潜在客户向会计师提供个人详细信息时，表现出自信的态度。</w:t>
      </w:r>
    </w:p>
    <w:p>
      <w:pPr>
        <w:spacing w:line="360" w:lineRule="auto" w:after="20"/>
        <w:ind w:firstLine="283"/>
      </w:pPr>
      <w:r>
        <w:t>E. 潜在客户能够提供资金来源和财富来源的相关文件。</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识别触发升级上报的可疑行为红线</w:t>
      </w:r>
    </w:p>
    <w:p>
      <w:pPr>
        <w:spacing w:before="120" w:after="40"/>
      </w:pPr>
      <w:r>
        <w:rPr>
          <w:b/>
          <w:sz w:val="21"/>
          <w:shd w:fill="D6E4F0" w:val="clear"/>
        </w:rPr>
        <w:t>核心解析</w:t>
      </w:r>
    </w:p>
    <w:p>
      <w:pPr>
        <w:spacing w:line="360" w:lineRule="auto" w:after="40"/>
        <w:ind w:firstLine="420"/>
      </w:pPr>
      <w:r>
        <w:t>教材要求机构建立流程，使员工能向合规官报告可疑情况</w:t>
      </w:r>
      <w:r>
        <w:rPr>
          <w:sz w:val="15"/>
          <w:vertAlign w:val="superscript"/>
        </w:rPr>
        <w:t>P351</w:t>
      </w:r>
      <w:r>
        <w:t>。在持续风险评估中，“客户不愿提供信息或文件”是触发审查的明确变化之一</w:t>
      </w:r>
      <w:r>
        <w:rPr>
          <w:sz w:val="15"/>
          <w:vertAlign w:val="superscript"/>
        </w:rPr>
        <w:t>P283</w:t>
      </w:r>
      <w:r>
        <w:t>，而对公司业务的细节描述含混不清、知识匮乏，本质上即构成一种“不愿或无法提供清晰信息”的风险信号。此外，客户尽职调查（CDD）的核心步骤包括“识别和验证受益所有人（BO）及最终受益所有人（UBO）”</w:t>
      </w:r>
      <w:r>
        <w:rPr>
          <w:sz w:val="15"/>
          <w:vertAlign w:val="superscript"/>
        </w:rPr>
        <w:t>P311</w:t>
      </w:r>
      <w:r>
        <w:t>，无法提供受益所有人信息直接违反了客户尽职调查的强制性要求，且教材指出壳公司或名义账户可隐藏真实所有权，使得识别受益所有人变得困难</w:t>
      </w:r>
      <w:r>
        <w:rPr>
          <w:sz w:val="15"/>
          <w:vertAlign w:val="superscript"/>
        </w:rPr>
        <w:t>P106</w:t>
      </w:r>
      <w:r>
        <w:t>。在本题中，会计师基于含混不清的业务描述和无法提供受益所有人信息这两点感到不安，这两个观察结果在教材框架下直接对应了明确的可疑红线与合规漏洞，因此需要上报。</w:t>
      </w:r>
    </w:p>
    <w:p>
      <w:pPr>
        <w:spacing w:before="120" w:after="40"/>
      </w:pPr>
      <w:r>
        <w:rPr>
          <w:b/>
          <w:sz w:val="21"/>
          <w:shd w:fill="D6E4F0" w:val="clear"/>
        </w:rPr>
        <w:t>教材原句</w:t>
      </w:r>
    </w:p>
    <w:p>
      <w:pPr>
        <w:spacing w:line="360" w:lineRule="auto" w:after="40"/>
        <w:ind w:firstLine="420"/>
      </w:pPr>
      <w:r>
        <w:t>"Reluctance to provide information or documentation."</w:t>
      </w:r>
    </w:p>
    <w:p>
      <w:pPr>
        <w:spacing w:before="120" w:after="40"/>
      </w:pPr>
      <w:r>
        <w:rPr>
          <w:b/>
          <w:sz w:val="21"/>
          <w:shd w:fill="D6E4F0" w:val="clear"/>
        </w:rPr>
        <w:t>A项错误</w:t>
      </w:r>
    </w:p>
    <w:p>
      <w:pPr>
        <w:spacing w:line="360" w:lineRule="auto" w:after="40"/>
        <w:ind w:firstLine="420"/>
      </w:pPr>
      <w:r>
        <w:t>题干描述潜在客户拟从事“进口和出口新家具”业务，这本身是合法的贸易活动，没有涉及教材所述高风险公司类型（如壳公司、现成公司或幌子公司，P54）的特殊迹象。相比之下，题干中业务细节含混和受益所有人信息缺失更直接匹配教材中需要上报的可疑信号。</w:t>
      </w:r>
    </w:p>
    <w:p>
      <w:pPr>
        <w:spacing w:before="120" w:after="40"/>
      </w:pPr>
      <w:r>
        <w:rPr>
          <w:b/>
          <w:sz w:val="21"/>
          <w:shd w:fill="D6E4F0" w:val="clear"/>
        </w:rPr>
        <w:t>D项错误</w:t>
      </w:r>
    </w:p>
    <w:p>
      <w:pPr>
        <w:spacing w:line="360" w:lineRule="auto" w:after="40"/>
        <w:ind w:firstLine="420"/>
      </w:pPr>
      <w:r>
        <w:t>教材提到良好的人际交往能力和对话式沟通更容易让客户放松</w:t>
      </w:r>
      <w:r>
        <w:rPr>
          <w:sz w:val="15"/>
          <w:vertAlign w:val="superscript"/>
        </w:rPr>
        <w:t>P341</w:t>
      </w:r>
      <w:r>
        <w:t>，而自信的态度通常与“拒不上报”不构成直接对立。题干条件下，业务细节含混和受益所有人缺失比“客户自信”更直接对应需要核查的风险信号。</w:t>
      </w:r>
    </w:p>
    <w:p>
      <w:pPr>
        <w:spacing w:before="120" w:after="40"/>
      </w:pPr>
      <w:r>
        <w:rPr>
          <w:b/>
          <w:sz w:val="21"/>
          <w:shd w:fill="D6E4F0" w:val="clear"/>
        </w:rPr>
        <w:t>E项错误</w:t>
      </w:r>
    </w:p>
    <w:p>
      <w:pPr>
        <w:spacing w:line="360" w:lineRule="auto" w:after="40"/>
        <w:ind w:firstLine="420"/>
      </w:pPr>
      <w:r>
        <w:t>根据教材，提供资金来源和财富来源文件是强化尽职调查（EDD）中的合规要求</w:t>
      </w:r>
      <w:r>
        <w:rPr>
          <w:sz w:val="15"/>
          <w:vertAlign w:val="superscript"/>
        </w:rPr>
        <w:t>P311</w:t>
      </w:r>
      <w:r>
        <w:t>，能够提供这些文件在教材框架下属于正面信号。题干中会计人员的不安更直接源于信息不透明，而非合规文件的缺失，故该项匹配度远低于正确选项。</w:t>
      </w:r>
    </w:p>
    <w:p>
      <w:pPr>
        <w:spacing w:before="120" w:after="40"/>
      </w:pPr>
      <w:r>
        <w:rPr>
          <w:b/>
          <w:sz w:val="21"/>
          <w:shd w:fill="D6E4F0" w:val="clear"/>
        </w:rPr>
        <w:t>易错提醒</w:t>
      </w:r>
    </w:p>
    <w:p>
      <w:pPr>
        <w:spacing w:line="360" w:lineRule="auto" w:after="40"/>
        <w:ind w:firstLine="420"/>
      </w:pPr>
      <w:r>
        <w:t>区分自信心态与可疑行为：教材提到良好沟通能使客户放松</w:t>
      </w:r>
      <w:r>
        <w:rPr>
          <w:sz w:val="15"/>
          <w:vertAlign w:val="superscript"/>
        </w:rPr>
        <w:t>P341</w:t>
      </w:r>
      <w:r>
        <w:t>，自信提供信息属于正常互动；但如果客户在业务本质和所有权关键信息上含糊其辞，则应视为可疑信号上报，而非被自信的表象迷惑。</w:t>
      </w:r>
    </w:p>
    <w:p>
      <w:pPr>
        <w:spacing w:line="360" w:lineRule="auto" w:after="120"/>
      </w:pPr>
      <w:r/>
    </w:p>
    <w:p>
      <w:pPr>
        <w:spacing w:line="360" w:lineRule="auto" w:after="40"/>
      </w:pPr>
      <w:r>
        <w:t>6. 以下哪些流程或工具尽管看似与反洗钱合规无关，但实际上有助于反洗钱合规？（选择两项。） ( )</w:t>
      </w:r>
    </w:p>
    <w:p>
      <w:pPr>
        <w:spacing w:line="360" w:lineRule="auto" w:after="20"/>
        <w:ind w:firstLine="283"/>
      </w:pPr>
      <w:r>
        <w:t>A. 客户忠诚度计划跟踪。</w:t>
      </w:r>
    </w:p>
    <w:p>
      <w:pPr>
        <w:spacing w:line="360" w:lineRule="auto" w:after="20"/>
        <w:ind w:firstLine="283"/>
      </w:pPr>
      <w:r>
        <w:t>B. 产品使用情况分析。</w:t>
      </w:r>
    </w:p>
    <w:p>
      <w:pPr>
        <w:spacing w:line="360" w:lineRule="auto" w:after="20"/>
        <w:ind w:firstLine="283"/>
      </w:pPr>
      <w:r>
        <w:t>C. 客户满意度调查。</w:t>
      </w:r>
    </w:p>
    <w:p>
      <w:pPr>
        <w:spacing w:line="360" w:lineRule="auto" w:after="20"/>
        <w:ind w:firstLine="283"/>
      </w:pPr>
      <w:r>
        <w:t>D. 客户支持工单跟踪。</w:t>
      </w:r>
    </w:p>
    <w:p>
      <w:pPr>
        <w:spacing w:line="360" w:lineRule="auto" w:after="20"/>
        <w:ind w:firstLine="283"/>
      </w:pPr>
      <w:r>
        <w:t>E. 信用风险评估。</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识别非核心职能流程对AML监控的间接支持</w:t>
      </w:r>
    </w:p>
    <w:p>
      <w:pPr>
        <w:spacing w:before="120" w:after="40"/>
      </w:pPr>
      <w:r>
        <w:rPr>
          <w:b/>
          <w:sz w:val="21"/>
          <w:shd w:fill="D6E4F0" w:val="clear"/>
        </w:rPr>
        <w:t>核心解析</w:t>
      </w:r>
    </w:p>
    <w:p>
      <w:pPr>
        <w:spacing w:line="360" w:lineRule="auto" w:after="40"/>
        <w:ind w:firstLine="420"/>
      </w:pPr>
      <w:r>
        <w:t>教材指出，产品风险评估有助于设计交易监控等控制措施以确保全面覆盖</w:t>
      </w:r>
      <w:r>
        <w:rPr>
          <w:sz w:val="15"/>
          <w:vertAlign w:val="superscript"/>
        </w:rPr>
        <w:t>P286</w:t>
      </w:r>
      <w:r>
        <w:t>，而运营部门提供产品使用模式的洞察</w:t>
      </w:r>
      <w:r>
        <w:rPr>
          <w:sz w:val="15"/>
          <w:vertAlign w:val="superscript"/>
        </w:rPr>
        <w:t>P286</w:t>
      </w:r>
      <w:r>
        <w:t>。产品使用分析能揭示客户如何与产品互动，进而支持异常行为检测。同时，持续监控要求跟踪客户活动以发现进一步异常或可疑行为</w:t>
      </w:r>
      <w:r>
        <w:rPr>
          <w:sz w:val="15"/>
          <w:vertAlign w:val="superscript"/>
        </w:rPr>
        <w:t>P359</w:t>
      </w:r>
      <w:r>
        <w:t>。客户支持工单跟踪看似是客服职能，但它记录客户的询问、投诉等非交易行为，可作为捕捉异常行为线索的补充来源。因此，这两个看似无关的流程都直接服务于反洗钱合规的监控目标。</w:t>
      </w:r>
    </w:p>
    <w:p>
      <w:pPr>
        <w:spacing w:before="120" w:after="40"/>
      </w:pPr>
      <w:r>
        <w:rPr>
          <w:b/>
          <w:sz w:val="21"/>
          <w:shd w:fill="D6E4F0" w:val="clear"/>
        </w:rPr>
        <w:t>教材原句</w:t>
      </w:r>
    </w:p>
    <w:p>
      <w:pPr>
        <w:spacing w:line="360" w:lineRule="auto" w:after="40"/>
        <w:ind w:firstLine="420"/>
      </w:pPr>
      <w:r>
        <w:t>"A product risk assessment is also very useful in designing controls such as transaction monitoring to ensure adequate coverage of all products."</w:t>
      </w:r>
    </w:p>
    <w:p>
      <w:pPr>
        <w:spacing w:before="120" w:after="40"/>
      </w:pPr>
      <w:r>
        <w:rPr>
          <w:b/>
          <w:sz w:val="21"/>
          <w:shd w:fill="D6E4F0" w:val="clear"/>
        </w:rPr>
        <w:t>A项错误</w:t>
      </w:r>
    </w:p>
    <w:p>
      <w:pPr>
        <w:spacing w:line="360" w:lineRule="auto" w:after="40"/>
        <w:ind w:firstLine="420"/>
      </w:pPr>
      <w:r>
        <w:t>教材列举了持续监控和记录保存的要求</w:t>
      </w:r>
      <w:r>
        <w:rPr>
          <w:sz w:val="15"/>
          <w:vertAlign w:val="superscript"/>
        </w:rPr>
        <w:t>P359</w:t>
      </w:r>
      <w:r>
        <w:t>，但未将忠诚度计划与反洗钱合规直接关联。题干条件更支持能直接洞察客户行为变化的选项，忠诚度计划跟踪的主要目的是营销而非风险监控。</w:t>
      </w:r>
    </w:p>
    <w:p>
      <w:pPr>
        <w:spacing w:before="120" w:after="40"/>
      </w:pPr>
      <w:r>
        <w:rPr>
          <w:b/>
          <w:sz w:val="21"/>
          <w:shd w:fill="D6E4F0" w:val="clear"/>
        </w:rPr>
        <w:t>C项错误</w:t>
      </w:r>
    </w:p>
    <w:p>
      <w:pPr>
        <w:spacing w:line="360" w:lineRule="auto" w:after="40"/>
        <w:ind w:firstLine="420"/>
      </w:pPr>
      <w:r>
        <w:t>客户满意度调查主要用于衡量服务质量，教材未说明其有助于识别金融犯罪风险。相比之下，产品使用分析和工单跟踪能提供客户行为异常的证据，更吻合反洗钱监控的需求。</w:t>
      </w:r>
    </w:p>
    <w:p>
      <w:pPr>
        <w:spacing w:before="120" w:after="40"/>
      </w:pPr>
      <w:r>
        <w:rPr>
          <w:b/>
          <w:sz w:val="21"/>
          <w:shd w:fill="D6E4F0" w:val="clear"/>
        </w:rPr>
        <w:t>E项错误</w:t>
      </w:r>
    </w:p>
    <w:p>
      <w:pPr>
        <w:spacing w:line="360" w:lineRule="auto" w:after="40"/>
        <w:ind w:firstLine="420"/>
      </w:pPr>
      <w:r>
        <w:t>信用风险评估关注借款人违约导致的潜在损失</w:t>
      </w:r>
      <w:r>
        <w:rPr>
          <w:sz w:val="15"/>
          <w:vertAlign w:val="superscript"/>
        </w:rPr>
        <w:t>P243</w:t>
      </w:r>
      <w:r>
        <w:t>，属于传统金融风险管理，与反洗钱合规关注的金融犯罪风险目标不同。教材明确将两者并列，说明信用风险不直接服务于反洗钱监控，工单跟踪和产品使用分析则更直接匹配异常行为识别。</w:t>
      </w:r>
    </w:p>
    <w:p>
      <w:pPr>
        <w:spacing w:before="120" w:after="40"/>
      </w:pPr>
      <w:r>
        <w:rPr>
          <w:b/>
          <w:sz w:val="21"/>
          <w:shd w:fill="D6E4F0" w:val="clear"/>
        </w:rPr>
        <w:t>易错提醒</w:t>
      </w:r>
    </w:p>
    <w:p>
      <w:pPr>
        <w:spacing w:line="360" w:lineRule="auto" w:after="40"/>
        <w:ind w:firstLine="420"/>
      </w:pPr>
      <w:r>
        <w:t>信用风险与金融犯罪风险易混淆。信用风险源于借款人违约导致的潜在损失</w:t>
      </w:r>
      <w:r>
        <w:rPr>
          <w:sz w:val="15"/>
          <w:vertAlign w:val="superscript"/>
        </w:rPr>
        <w:t>P243</w:t>
      </w:r>
      <w:r>
        <w:t>，而反洗钱合规关注金融犯罪风险，两者的评估目的和数据来源不同。信用风险评估不直接有助于反洗钱合规。</w:t>
      </w:r>
    </w:p>
    <w:p>
      <w:pPr>
        <w:spacing w:line="360" w:lineRule="auto" w:after="120"/>
      </w:pPr>
      <w:r/>
    </w:p>
    <w:p>
      <w:pPr>
        <w:spacing w:line="360" w:lineRule="auto" w:after="40"/>
      </w:pPr>
      <w:r>
        <w:t>7. 一家人寿保险公司的反洗钱报告官(MLRO)正在审查产品风险评估方法.以下哪些人寿保险产品的属性会被赋予较高的风险评级？(选择三项.) ( )</w:t>
      </w:r>
    </w:p>
    <w:p>
      <w:pPr>
        <w:spacing w:line="360" w:lineRule="auto" w:after="20"/>
        <w:ind w:firstLine="283"/>
      </w:pPr>
      <w:r>
        <w:t>A. 带有递延收益流的年金产品</w:t>
      </w:r>
    </w:p>
    <w:p>
      <w:pPr>
        <w:spacing w:line="360" w:lineRule="auto" w:after="20"/>
        <w:ind w:firstLine="283"/>
      </w:pPr>
      <w:r>
        <w:t>B. 允许在保单生效后变更指定受益人的产品</w:t>
      </w:r>
    </w:p>
    <w:p>
      <w:pPr>
        <w:spacing w:line="360" w:lineRule="auto" w:after="20"/>
        <w:ind w:firstLine="283"/>
      </w:pPr>
      <w:r>
        <w:t>C. 具有国际健康保险保障的产品</w:t>
      </w:r>
    </w:p>
    <w:p>
      <w:pPr>
        <w:spacing w:line="360" w:lineRule="auto" w:after="20"/>
        <w:ind w:firstLine="283"/>
      </w:pPr>
      <w:r>
        <w:t>D. 允许有现金退保价值的产品</w:t>
      </w:r>
    </w:p>
    <w:p>
      <w:pPr>
        <w:spacing w:line="360" w:lineRule="auto" w:after="20"/>
        <w:ind w:firstLine="283"/>
      </w:pPr>
      <w:r>
        <w:t>E. 限制资金从一份保单转移到另一份保单的产品</w:t>
      </w:r>
    </w:p>
    <w:p>
      <w:pPr>
        <w:spacing w:line="360" w:lineRule="auto" w:after="40"/>
      </w:pPr>
      <w:r>
        <w:t>答案:B、C、D</w:t>
      </w:r>
    </w:p>
    <w:p>
      <w:pPr>
        <w:spacing w:line="360" w:lineRule="auto" w:after="40"/>
      </w:pPr>
      <w:r>
        <w:t>解析：</w:t>
      </w:r>
    </w:p>
    <w:p>
      <w:pPr>
        <w:spacing w:before="120" w:after="40"/>
      </w:pPr>
      <w:r>
        <w:rPr>
          <w:b/>
          <w:sz w:val="21"/>
          <w:shd w:fill="D6E4F0" w:val="clear"/>
        </w:rPr>
        <w:t>考点</w:t>
      </w:r>
    </w:p>
    <w:p>
      <w:pPr>
        <w:spacing w:line="360" w:lineRule="auto" w:after="40"/>
        <w:ind w:firstLine="420"/>
      </w:pPr>
      <w:r>
        <w:t>按固有产品特征中的跨境、灵活性与现金价值判定人寿保险产品风险等级</w:t>
      </w:r>
    </w:p>
    <w:p>
      <w:pPr>
        <w:spacing w:before="120" w:after="40"/>
      </w:pPr>
      <w:r>
        <w:rPr>
          <w:b/>
          <w:sz w:val="21"/>
          <w:shd w:fill="D6E4F0" w:val="clear"/>
        </w:rPr>
        <w:t>核心解析</w:t>
      </w:r>
    </w:p>
    <w:p>
      <w:pPr>
        <w:spacing w:line="360" w:lineRule="auto" w:after="40"/>
        <w:ind w:firstLine="420"/>
      </w:pPr>
      <w:r>
        <w:t>产品风险评估考察固有产品特征与交易模式，其中跨境支付、匿名性、第三方支付、现金密集等属性提示较高风险</w:t>
      </w:r>
      <w:r>
        <w:rPr>
          <w:sz w:val="15"/>
          <w:vertAlign w:val="superscript"/>
        </w:rPr>
        <w:t>P286</w:t>
      </w:r>
      <w:r>
        <w:t>。在人寿保险背景下，高现金价值或灵活缴费的产品尤其容易被滥用以掩盖资金来源</w:t>
      </w:r>
      <w:r>
        <w:rPr>
          <w:sz w:val="15"/>
          <w:vertAlign w:val="superscript"/>
        </w:rPr>
        <w:t>P101</w:t>
      </w:r>
      <w:r>
        <w:t>。选项B“允许保单生效后变更指定受益人”引入了受益所有权结构的灵活性，使资金最终流向可被随意改变，类似于第三方介入或匿名性增加，提高了洗钱风险。选项C“具有国际健康保险保障”直接涉及跨境支付和境外因素，属于固有产品特征中明确列举的高风险属性。选项D“允许有现金退保价值”意味着产品具备可立即变现的高现金价值，犯罪分子可通过缴纳非法资金后提前退保套现，将非法资金转化为合法资产，这正是教材所列的高风险场景</w:t>
      </w:r>
      <w:r>
        <w:rPr>
          <w:sz w:val="15"/>
          <w:vertAlign w:val="superscript"/>
        </w:rPr>
        <w:t>P101</w:t>
      </w:r>
      <w:r>
        <w:t>。综合来看，B、C、D 分别在受益人灵活性、跨境维度和现金价值上符合高风险产品特征。</w:t>
      </w:r>
    </w:p>
    <w:p>
      <w:pPr>
        <w:spacing w:before="120" w:after="40"/>
      </w:pPr>
      <w:r>
        <w:rPr>
          <w:b/>
          <w:sz w:val="21"/>
          <w:shd w:fill="D6E4F0" w:val="clear"/>
        </w:rPr>
        <w:t>A项错误</w:t>
      </w:r>
    </w:p>
    <w:p>
      <w:pPr>
        <w:spacing w:line="360" w:lineRule="auto" w:after="40"/>
        <w:ind w:firstLine="420"/>
      </w:pPr>
      <w:r>
        <w:t>“带有递延收益流的年金产品”具有固定的未来支付时间表，其流动性低于可即时退保的产品。教材在解释保险业固有风险较低时，理由之一正是结构化支付安排（structured payout schedules），即资金释放受限</w:t>
      </w:r>
      <w:r>
        <w:rPr>
          <w:sz w:val="15"/>
          <w:vertAlign w:val="superscript"/>
        </w:rPr>
        <w:t>P101</w:t>
      </w:r>
      <w:r>
        <w:t>。相比之下，具备立即现金退保价值的产品更符合教材对高现金价值风险的定义。</w:t>
      </w:r>
    </w:p>
    <w:p>
      <w:pPr>
        <w:spacing w:before="120" w:after="40"/>
      </w:pPr>
      <w:r>
        <w:rPr>
          <w:b/>
          <w:sz w:val="21"/>
          <w:shd w:fill="D6E4F0" w:val="clear"/>
        </w:rPr>
        <w:t>E项错误</w:t>
      </w:r>
    </w:p>
    <w:p>
      <w:pPr>
        <w:spacing w:line="360" w:lineRule="auto" w:after="40"/>
        <w:ind w:firstLine="420"/>
      </w:pPr>
      <w:r>
        <w:t>“限制资金从一份保单转移到另一份保单”属于对产品功能的约束，实际上是降低风险而非提高风险。教材在讨论高风险客户管控措施时，将交易和产品限制列为控制手段之一</w:t>
      </w:r>
      <w:r>
        <w:rPr>
          <w:sz w:val="15"/>
          <w:vertAlign w:val="superscript"/>
        </w:rPr>
        <w:t>P312</w:t>
      </w:r>
      <w:r>
        <w:t>。题干预设的产品风险评估旨在识别“较高风险评级”的属性，具有限制性特征的产品更趋向于低风险而非高风险。</w:t>
      </w:r>
    </w:p>
    <w:p>
      <w:pPr>
        <w:spacing w:before="120" w:after="40"/>
      </w:pPr>
      <w:r>
        <w:rPr>
          <w:b/>
          <w:sz w:val="21"/>
          <w:shd w:fill="D6E4F0" w:val="clear"/>
        </w:rPr>
        <w:t>易错提醒</w:t>
      </w:r>
    </w:p>
    <w:p>
      <w:pPr>
        <w:spacing w:line="360" w:lineRule="auto" w:after="40"/>
        <w:ind w:firstLine="420"/>
      </w:pPr>
      <w:r>
        <w:t>误将“递延收益流”等同于“高现金价值”：递延意味着付款远在未来，产品缺乏即时可获取的现金价值，恰好与洗钱所需快速变现的特征相反。区分关键是看资金能否立即被持有人控制或提取。</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