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240"/>
      </w:pPr>
      <w:r>
        <w:t>试卷名称:CAMS CH13</w:t>
      </w:r>
    </w:p>
    <w:p>
      <w:pPr>
        <w:spacing w:line="360" w:lineRule="auto" w:after="160"/>
      </w:pPr>
      <w:r>
        <w:t>一、单项选择题</w:t>
      </w:r>
    </w:p>
    <w:p>
      <w:pPr>
        <w:spacing w:line="360" w:lineRule="auto" w:after="40"/>
      </w:pPr>
      <w:r>
        <w:t>1. 为何在联合国、美国海外资产控制办公室(OFAC)和欧盟名单中进行筛查很重要？ ( )</w:t>
      </w:r>
    </w:p>
    <w:p>
      <w:pPr>
        <w:spacing w:line="360" w:lineRule="auto" w:after="20"/>
        <w:ind w:firstLine="283"/>
      </w:pPr>
      <w:r>
        <w:t>A. 为避免与支付相关的制裁违规行为</w:t>
      </w:r>
    </w:p>
    <w:p>
      <w:pPr>
        <w:spacing w:line="360" w:lineRule="auto" w:after="20"/>
        <w:ind w:firstLine="283"/>
      </w:pPr>
      <w:r>
        <w:t>B. 为避免重新接纳因真实匹配而退出的客户</w:t>
      </w:r>
    </w:p>
    <w:p>
      <w:pPr>
        <w:spacing w:line="360" w:lineRule="auto" w:after="20"/>
        <w:ind w:firstLine="283"/>
      </w:pPr>
      <w:r>
        <w:t>C. 为满足国际监管要求并识别跨司法管辖区的风险</w:t>
      </w:r>
    </w:p>
    <w:p>
      <w:pPr>
        <w:spacing w:line="360" w:lineRule="auto" w:after="20"/>
        <w:ind w:firstLine="283"/>
      </w:pPr>
      <w:r>
        <w:t>D. 与风险偏好声明保持一致</w:t>
      </w:r>
    </w:p>
    <w:p>
      <w:pPr>
        <w:spacing w:line="360" w:lineRule="auto" w:after="40"/>
      </w:pPr>
      <w:r>
        <w:t>答案:C</w:t>
      </w:r>
    </w:p>
    <w:p>
      <w:pPr>
        <w:spacing w:line="360" w:lineRule="auto" w:after="40"/>
      </w:pPr>
      <w:r>
        <w:t>解析：</w:t>
      </w:r>
    </w:p>
    <w:p>
      <w:pPr>
        <w:spacing w:before="120" w:after="40"/>
      </w:pPr>
      <w:r>
        <w:rPr>
          <w:b/>
          <w:sz w:val="21"/>
          <w:shd w:fill="D6E4F0" w:val="clear"/>
        </w:rPr>
        <w:t>考点</w:t>
      </w:r>
    </w:p>
    <w:p>
      <w:pPr>
        <w:spacing w:line="360" w:lineRule="auto" w:after="40"/>
        <w:ind w:firstLine="420"/>
      </w:pPr>
      <w:r>
        <w:t>为何使用多制裁名单筛查：满足国际监管与识别跨辖区风险</w:t>
      </w:r>
    </w:p>
    <w:p>
      <w:pPr>
        <w:spacing w:before="120" w:after="40"/>
      </w:pPr>
      <w:r>
        <w:rPr>
          <w:b/>
          <w:sz w:val="21"/>
          <w:shd w:fill="D6E4F0" w:val="clear"/>
        </w:rPr>
        <w:t>核心解析</w:t>
      </w:r>
    </w:p>
    <w:p>
      <w:pPr>
        <w:spacing w:line="360" w:lineRule="auto" w:after="40"/>
        <w:ind w:firstLine="420"/>
      </w:pPr>
      <w:r>
        <w:t>制裁筛查指将客户信息与联合国、欧盟、OFAC等制裁名单进行交叉核对，以检测高风险实体</w:t>
      </w:r>
      <w:r>
        <w:rPr>
          <w:sz w:val="15"/>
          <w:vertAlign w:val="superscript"/>
        </w:rPr>
        <w:t>P305</w:t>
      </w:r>
      <w:r>
        <w:t>。自动化筛查工具用于确保遵守OFAC、欧盟和联合国等国际制裁名单</w:t>
      </w:r>
      <w:r>
        <w:rPr>
          <w:sz w:val="15"/>
          <w:vertAlign w:val="superscript"/>
        </w:rPr>
        <w:t>P374</w:t>
      </w:r>
      <w:r>
        <w:t>。此外，客户风险评估中的管辖风险要素明确要求考虑客户是否来自OFAC、欧盟等名单所列高风险司法管辖区</w:t>
      </w:r>
      <w:r>
        <w:rPr>
          <w:sz w:val="15"/>
          <w:vertAlign w:val="superscript"/>
        </w:rPr>
        <w:t>P307</w:t>
      </w:r>
      <w:r>
        <w:t>。因此，在名称筛查系统中使用多个制裁名单，既能满足不同国际监管要求，又能全面识别跨司法管辖区的制裁风险。</w:t>
      </w:r>
    </w:p>
    <w:p>
      <w:pPr>
        <w:spacing w:before="120" w:after="40"/>
      </w:pPr>
      <w:r>
        <w:rPr>
          <w:b/>
          <w:sz w:val="21"/>
          <w:shd w:fill="D6E4F0" w:val="clear"/>
        </w:rPr>
        <w:t>教材原句</w:t>
      </w:r>
    </w:p>
    <w:p>
      <w:pPr>
        <w:spacing w:line="360" w:lineRule="auto" w:after="40"/>
        <w:ind w:firstLine="420"/>
      </w:pPr>
      <w:r>
        <w:t>"These tools ensure compliance with international regulations such as OFAC, EU, and UN sanctions lists."</w:t>
      </w:r>
    </w:p>
    <w:p>
      <w:pPr>
        <w:spacing w:before="120" w:after="40"/>
      </w:pPr>
      <w:r>
        <w:rPr>
          <w:b/>
          <w:sz w:val="21"/>
          <w:shd w:fill="D6E4F0" w:val="clear"/>
        </w:rPr>
        <w:t>A项错误</w:t>
      </w:r>
    </w:p>
    <w:p>
      <w:pPr>
        <w:spacing w:line="360" w:lineRule="auto" w:after="40"/>
        <w:ind w:firstLine="420"/>
      </w:pPr>
      <w:r>
        <w:t>支付相关规避是制裁规避的一种具体方法</w:t>
      </w:r>
      <w:r>
        <w:rPr>
          <w:sz w:val="15"/>
          <w:vertAlign w:val="superscript"/>
        </w:rPr>
        <w:t>P23</w:t>
      </w:r>
      <w:r>
        <w:t>，使用多个制裁名单筛查的目的更为全面，涵盖所有类型的制裁合规和跨辖区风险识别，而不仅限于支付环节。</w:t>
      </w:r>
    </w:p>
    <w:p>
      <w:pPr>
        <w:spacing w:before="120" w:after="40"/>
      </w:pPr>
      <w:r>
        <w:rPr>
          <w:b/>
          <w:sz w:val="21"/>
          <w:shd w:fill="D6E4F0" w:val="clear"/>
        </w:rPr>
        <w:t>B项错误</w:t>
      </w:r>
    </w:p>
    <w:p>
      <w:pPr>
        <w:spacing w:line="360" w:lineRule="auto" w:after="40"/>
        <w:ind w:firstLine="420"/>
      </w:pPr>
      <w:r>
        <w:t>教材指出内部数据包括因合规原因退出的客户名单</w:t>
      </w:r>
      <w:r>
        <w:rPr>
          <w:sz w:val="15"/>
          <w:vertAlign w:val="superscript"/>
        </w:rPr>
        <w:t>P466</w:t>
      </w:r>
      <w:r>
        <w:t>，这属于组织的内部黑名单管理，使用多个外部制裁名单筛查的目的在于满足国际监管要求和识别跨辖区风险，而非仅避免重新接纳已退出客户。</w:t>
      </w:r>
    </w:p>
    <w:p>
      <w:pPr>
        <w:spacing w:before="120" w:after="40"/>
      </w:pPr>
      <w:r>
        <w:rPr>
          <w:b/>
          <w:sz w:val="21"/>
          <w:shd w:fill="D6E4F0" w:val="clear"/>
        </w:rPr>
        <w:t>D项错误</w:t>
      </w:r>
    </w:p>
    <w:p>
      <w:pPr>
        <w:spacing w:line="360" w:lineRule="auto" w:after="40"/>
        <w:ind w:firstLine="420"/>
      </w:pPr>
      <w:r>
        <w:t>风险偏好声明定义机构可接受的风险水平</w:t>
      </w:r>
      <w:r>
        <w:rPr>
          <w:sz w:val="15"/>
          <w:vertAlign w:val="superscript"/>
        </w:rPr>
        <w:t>P271</w:t>
      </w:r>
      <w:r>
        <w:t>，控制框架应与之保持一致</w:t>
      </w:r>
      <w:r>
        <w:rPr>
          <w:sz w:val="15"/>
          <w:vertAlign w:val="superscript"/>
        </w:rPr>
        <w:t>P277</w:t>
      </w:r>
      <w:r>
        <w:t>，但筛查多个制裁名单的直接目的是满足具体监管义务和识别跨辖区风险，与风险偏好声明的关联不如C项直接。</w:t>
      </w:r>
    </w:p>
    <w:p>
      <w:pPr>
        <w:spacing w:line="360" w:lineRule="auto" w:after="120"/>
      </w:pPr>
      <w:r/>
    </w:p>
    <w:p>
      <w:pPr>
        <w:spacing w:line="360" w:lineRule="auto" w:after="40"/>
      </w:pPr>
      <w:r>
        <w:t>2. 专注于利用技术手段比现有能力更高效、更有效地满足监管要求的金融科技(FinTech)的一个子集被称为: ( )</w:t>
      </w:r>
    </w:p>
    <w:p>
      <w:pPr>
        <w:spacing w:line="360" w:lineRule="auto" w:after="20"/>
        <w:ind w:firstLine="283"/>
      </w:pPr>
      <w:r>
        <w:t>A. 监管科技</w:t>
      </w:r>
    </w:p>
    <w:p>
      <w:pPr>
        <w:spacing w:line="360" w:lineRule="auto" w:after="20"/>
        <w:ind w:firstLine="283"/>
      </w:pPr>
      <w:r>
        <w:t>B. 监管科技</w:t>
      </w:r>
    </w:p>
    <w:p>
      <w:pPr>
        <w:spacing w:line="360" w:lineRule="auto" w:after="20"/>
        <w:ind w:firstLine="283"/>
      </w:pPr>
      <w:r>
        <w:t>C. 蓝色科技</w:t>
      </w:r>
    </w:p>
    <w:p>
      <w:pPr>
        <w:spacing w:line="360" w:lineRule="auto" w:after="20"/>
        <w:ind w:firstLine="283"/>
      </w:pPr>
      <w:r>
        <w:t>D.</w:t>
      </w:r>
    </w:p>
    <w:p>
      <w:pPr>
        <w:spacing w:line="360" w:lineRule="auto" w:after="40"/>
      </w:pPr>
      <w:r>
        <w:t>答案:C</w:t>
      </w:r>
    </w:p>
    <w:p>
      <w:pPr>
        <w:spacing w:line="360" w:lineRule="auto" w:after="40"/>
      </w:pPr>
      <w:r>
        <w:t>解析：</w:t>
      </w:r>
    </w:p>
    <w:p>
      <w:pPr>
        <w:spacing w:before="120" w:after="40"/>
      </w:pPr>
      <w:r>
        <w:rPr>
          <w:b/>
          <w:sz w:val="21"/>
          <w:shd w:fill="D6E4F0" w:val="clear"/>
        </w:rPr>
        <w:t>考点</w:t>
      </w:r>
    </w:p>
    <w:p>
      <w:pPr>
        <w:spacing w:line="360" w:lineRule="auto" w:after="40"/>
        <w:ind w:firstLine="420"/>
      </w:pPr>
      <w:r>
        <w:t>根据定义区分 RegTech 与 SupTech/SubTech/BlueTech</w:t>
      </w:r>
    </w:p>
    <w:p>
      <w:pPr>
        <w:spacing w:before="120" w:after="40"/>
      </w:pPr>
      <w:r>
        <w:rPr>
          <w:b/>
          <w:sz w:val="21"/>
          <w:shd w:fill="D6E4F0" w:val="clear"/>
        </w:rPr>
        <w:t>核心解析</w:t>
      </w:r>
    </w:p>
    <w:p>
      <w:pPr>
        <w:spacing w:line="360" w:lineRule="auto" w:after="40"/>
        <w:ind w:firstLine="420"/>
      </w:pPr>
      <w:r>
        <w:t>世界经济论坛将监管科技（RegTech）定义为帮助受监管行业满足合规义务的新技术解决方案</w:t>
      </w:r>
      <w:r>
        <w:rPr>
          <w:sz w:val="15"/>
          <w:vertAlign w:val="superscript"/>
        </w:rPr>
        <w:t>P372</w:t>
      </w:r>
      <w:r>
        <w:t>。题干要求的是金融科技中专注于“利用技术手段比现有能力更高效、更有效地满足监管要求”的子集，这正是 RegTech 的内涵。FATF 也指出监管科技通过提高管理金融犯罪风险的效率和有效性来增强合规</w:t>
      </w:r>
      <w:r>
        <w:rPr>
          <w:sz w:val="15"/>
          <w:vertAlign w:val="superscript"/>
        </w:rPr>
        <w:t>P372</w:t>
      </w:r>
      <w:r>
        <w:t>。因此，题干描述与 RegTech 的定义直接吻合，答案选 C。</w:t>
      </w:r>
    </w:p>
    <w:p>
      <w:pPr>
        <w:spacing w:before="120" w:after="40"/>
      </w:pPr>
      <w:r>
        <w:rPr>
          <w:b/>
          <w:sz w:val="21"/>
          <w:shd w:fill="D6E4F0" w:val="clear"/>
        </w:rPr>
        <w:t>A项错误</w:t>
      </w:r>
    </w:p>
    <w:p>
      <w:pPr>
        <w:spacing w:line="360" w:lineRule="auto" w:after="40"/>
        <w:ind w:firstLine="420"/>
      </w:pPr>
      <w:r>
        <w:t>SupTech 通常指监管机构使用的技术，帮助其履行监督与执法的职责（P228 展示监管者的角色与工具），而非题干所描述的受监管行业为满足自身合规义务而部署的技术。因此，在定义匹配度上，SupTech 不如直接指向行业合规端的 RegTech。</w:t>
      </w:r>
    </w:p>
    <w:p>
      <w:pPr>
        <w:spacing w:before="120" w:after="40"/>
      </w:pPr>
      <w:r>
        <w:rPr>
          <w:b/>
          <w:sz w:val="21"/>
          <w:shd w:fill="D6E4F0" w:val="clear"/>
        </w:rPr>
        <w:t>B项错误</w:t>
      </w:r>
    </w:p>
    <w:p>
      <w:pPr>
        <w:spacing w:line="360" w:lineRule="auto" w:after="40"/>
        <w:ind w:firstLine="420"/>
      </w:pPr>
      <w:r>
        <w:t>SubTech 在教材提供的概念体系中未出现，题干也未提供与其相关的要素，因而无法与 RegTech 的定义竞争。</w:t>
      </w:r>
    </w:p>
    <w:p>
      <w:pPr>
        <w:spacing w:before="120" w:after="40"/>
      </w:pPr>
      <w:r>
        <w:rPr>
          <w:b/>
          <w:sz w:val="21"/>
          <w:shd w:fill="D6E4F0" w:val="clear"/>
        </w:rPr>
        <w:t>D项错误</w:t>
      </w:r>
    </w:p>
    <w:p>
      <w:pPr>
        <w:spacing w:line="360" w:lineRule="auto" w:after="40"/>
        <w:ind w:firstLine="420"/>
      </w:pPr>
      <w:r>
        <w:t>BlueTech 在教材及相关材料中无对应定义，题干亦未涉及其应用场景，与题干所描述的合规目标无关。</w:t>
      </w:r>
    </w:p>
    <w:p>
      <w:pPr>
        <w:spacing w:before="120" w:after="40"/>
      </w:pPr>
      <w:r>
        <w:rPr>
          <w:b/>
          <w:sz w:val="21"/>
          <w:shd w:fill="D6E4F0" w:val="clear"/>
        </w:rPr>
        <w:t>易错提醒</w:t>
      </w:r>
    </w:p>
    <w:p>
      <w:pPr>
        <w:spacing w:line="360" w:lineRule="auto" w:after="40"/>
        <w:ind w:firstLine="420"/>
      </w:pPr>
      <w:r>
        <w:t>RegTech（监管科技）是指受监管行业为提高合规效率和效果而使用的技术，使用者是银行等被监管机构；SupTech 则是监管机构自己使用的技术，用于风险为本的监督和许可管理</w:t>
      </w:r>
      <w:r>
        <w:rPr>
          <w:sz w:val="15"/>
          <w:vertAlign w:val="superscript"/>
        </w:rPr>
        <w:t>P228</w:t>
      </w:r>
      <w:r>
        <w:t>。题干关键短语“满足监管要求”指向的是行业端的合规需求，而非监管机构端的监督需求。</w:t>
      </w:r>
    </w:p>
    <w:p>
      <w:pPr>
        <w:spacing w:line="360" w:lineRule="auto" w:after="120"/>
      </w:pPr>
      <w:r/>
    </w:p>
    <w:p>
      <w:pPr>
        <w:spacing w:line="360" w:lineRule="auto" w:after="40"/>
      </w:pPr>
      <w:r>
        <w:t>3. [反洗钱和反恐怖融资合规标准]哪些法律法规领域对反洗钱/打击资助恐怖主义应用的影响最大?(选择三项.) ( )</w:t>
      </w:r>
    </w:p>
    <w:p>
      <w:pPr>
        <w:spacing w:line="360" w:lineRule="auto" w:after="20"/>
        <w:ind w:firstLine="283"/>
      </w:pPr>
      <w:r>
        <w:t>A. 信息安全、数据隐私和网络安全</w:t>
      </w:r>
    </w:p>
    <w:p>
      <w:pPr>
        <w:spacing w:line="360" w:lineRule="auto" w:after="20"/>
        <w:ind w:firstLine="283"/>
      </w:pPr>
      <w:r>
        <w:t>B. 外汇管制以及贵重宝石和金属交易</w:t>
      </w:r>
    </w:p>
    <w:p>
      <w:pPr>
        <w:spacing w:line="360" w:lineRule="auto" w:after="20"/>
        <w:ind w:firstLine="283"/>
      </w:pPr>
      <w:r>
        <w:t>C. 监察专员和反垄断机构</w:t>
      </w:r>
    </w:p>
    <w:p>
      <w:pPr>
        <w:spacing w:line="360" w:lineRule="auto" w:after="20"/>
        <w:ind w:firstLine="283"/>
      </w:pPr>
      <w:r>
        <w:t>D. 电子合同与生物特征签名的接受</w:t>
      </w:r>
    </w:p>
    <w:p>
      <w:pPr>
        <w:spacing w:line="360" w:lineRule="auto" w:after="20"/>
        <w:ind w:firstLine="283"/>
      </w:pPr>
      <w:r>
        <w:t>E. 消费者保护、金融普惠以及环境、社会和治理</w:t>
      </w:r>
    </w:p>
    <w:p>
      <w:pPr>
        <w:spacing w:line="360" w:lineRule="auto" w:after="40"/>
      </w:pPr>
      <w:r>
        <w:t>答案:A、B、E</w:t>
      </w:r>
    </w:p>
    <w:p>
      <w:pPr>
        <w:spacing w:line="360" w:lineRule="auto" w:after="40"/>
      </w:pPr>
      <w:r>
        <w:t>解析：</w:t>
      </w:r>
    </w:p>
    <w:p>
      <w:pPr>
        <w:spacing w:before="120" w:after="40"/>
      </w:pPr>
      <w:r>
        <w:rPr>
          <w:b/>
          <w:sz w:val="21"/>
          <w:shd w:fill="D6E4F0" w:val="clear"/>
        </w:rPr>
        <w:t>考点</w:t>
      </w:r>
    </w:p>
    <w:p>
      <w:pPr>
        <w:spacing w:line="360" w:lineRule="auto" w:after="40"/>
        <w:ind w:firstLine="420"/>
      </w:pPr>
      <w:r>
        <w:t>识别对AML/CFT应用影响最大的外部法律法规领域</w:t>
      </w:r>
    </w:p>
    <w:p>
      <w:pPr>
        <w:spacing w:before="120" w:after="40"/>
      </w:pPr>
      <w:r>
        <w:rPr>
          <w:b/>
          <w:sz w:val="21"/>
          <w:shd w:fill="D6E4F0" w:val="clear"/>
        </w:rPr>
        <w:t>核心解析</w:t>
      </w:r>
    </w:p>
    <w:p>
      <w:pPr>
        <w:spacing w:line="360" w:lineRule="auto" w:after="40"/>
        <w:ind w:firstLine="420"/>
      </w:pPr>
      <w:r>
        <w:t>AML/CFT的应用不仅依赖专项反洗钱立法，还受数据隐私、外汇管制、消费者保护等领域法规的深刻影响。教材指出实施反洗钱技术时必须遵守GDPR等隐私法并确保数据安全(P378)，跨境交易面临不同司法管辖区的货币管制和报告要求(P95)，贵金属和宝石交易因商品便携、易变现而成为高风险活动需要专门监管(P119)。同时，ESG法规与AML/CFT正在融合(P217)，消费者保护和普惠金融也直接参与AML/CFT合规框架(P213-214)。因此，A、B、E所涉领域都对AML/CFT应用有重大且直接的影响。</w:t>
      </w:r>
    </w:p>
    <w:p>
      <w:pPr>
        <w:spacing w:before="120" w:after="40"/>
      </w:pPr>
      <w:r>
        <w:rPr>
          <w:b/>
          <w:sz w:val="21"/>
          <w:shd w:fill="D6E4F0" w:val="clear"/>
        </w:rPr>
        <w:t>教材原句</w:t>
      </w:r>
    </w:p>
    <w:p>
      <w:pPr>
        <w:spacing w:line="360" w:lineRule="auto" w:after="40"/>
        <w:ind w:firstLine="420"/>
      </w:pPr>
      <w:r>
        <w:t>"Data privacy and security: Comply with privacy laws, such as the GDPR and the Gramm-Leach-Bliley Act, and ensure secure data storage, encryption, and access controls to mitigate cybersecurity risks."</w:t>
      </w:r>
    </w:p>
    <w:p>
      <w:pPr>
        <w:spacing w:before="120" w:after="40"/>
      </w:pPr>
      <w:r>
        <w:rPr>
          <w:b/>
          <w:sz w:val="21"/>
          <w:shd w:fill="D6E4F0" w:val="clear"/>
        </w:rPr>
        <w:t>C项错误</w:t>
      </w:r>
    </w:p>
    <w:p>
      <w:pPr>
        <w:spacing w:line="360" w:lineRule="auto" w:after="40"/>
        <w:ind w:firstLine="420"/>
      </w:pPr>
      <w:r>
        <w:t>监察专员和反垄断机构主要处理申诉和市场竞争问题，教材在列举影响AML/CFT的法规领域时并未涉及这两项。相比之下，A、B、E各领域均在教材中有明确章节论述其对AML/CFT的直接作用。</w:t>
      </w:r>
    </w:p>
    <w:p>
      <w:pPr>
        <w:spacing w:before="120" w:after="40"/>
      </w:pPr>
      <w:r>
        <w:rPr>
          <w:b/>
          <w:sz w:val="21"/>
          <w:shd w:fill="D6E4F0" w:val="clear"/>
        </w:rPr>
        <w:t>D项错误</w:t>
      </w:r>
    </w:p>
    <w:p>
      <w:pPr>
        <w:spacing w:line="360" w:lineRule="auto" w:after="40"/>
        <w:ind w:firstLine="420"/>
      </w:pPr>
      <w:r>
        <w:t>电子合同与生物特征签名接受属于客户尽职调查的技术手段，尽管其在合规操作中发挥作用(如P404提及电子身份验证和生物识别)，但它本身并非一个“法律法规领域”；而题干要求的是对AML/CFT应用影响最大的法律和法规领域。数据隐私法律(选项A)才是这些技术背后的法规基础，因此在题干匹配度上不如A直接。</w:t>
      </w:r>
    </w:p>
    <w:p>
      <w:pPr>
        <w:spacing w:before="120" w:after="40"/>
      </w:pPr>
      <w:r>
        <w:rPr>
          <w:b/>
          <w:sz w:val="21"/>
          <w:shd w:fill="D6E4F0" w:val="clear"/>
        </w:rPr>
        <w:t>易错提醒</w:t>
      </w:r>
    </w:p>
    <w:p>
      <w:pPr>
        <w:spacing w:line="360" w:lineRule="auto" w:after="40"/>
        <w:ind w:firstLine="420"/>
      </w:pPr>
      <w:r>
        <w:t>注意区分“技术手段/合规工具”和“法律法规领域”。生物特征识别等是技术方式，其应用受数据隐私法约束，而非自身构成一个独立的法规领域。题干问的是法规领域，不要将技术接受误判为法规。</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