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CH13</w:t>
      </w:r>
    </w:p>
    <w:p>
      <w:pPr>
        <w:spacing w:line="360" w:lineRule="auto" w:after="160"/>
      </w:pPr>
      <w:r>
        <w:t>一、单项选择题</w:t>
      </w:r>
    </w:p>
    <w:p>
      <w:pPr>
        <w:spacing w:line="360" w:lineRule="auto" w:after="40"/>
      </w:pPr>
      <w:r>
        <w:t>1. 基于风险的反金融犯罪（AFC）方法涉及通过以下方式了解和管理风险： ( )</w:t>
      </w:r>
    </w:p>
    <w:p>
      <w:pPr>
        <w:spacing w:line="360" w:lineRule="auto" w:after="20"/>
        <w:ind w:firstLine="283"/>
      </w:pPr>
      <w:r>
        <w:t>A. 对所有客户实施统一的控制措施，而不考虑其风险状况</w:t>
      </w:r>
    </w:p>
    <w:p>
      <w:pPr>
        <w:spacing w:line="360" w:lineRule="auto" w:after="20"/>
        <w:ind w:firstLine="283"/>
      </w:pPr>
      <w:r>
        <w:t>B. 根据已识别风险的程度分配资源并实施控制措施</w:t>
      </w:r>
    </w:p>
    <w:p>
      <w:pPr>
        <w:spacing w:line="360" w:lineRule="auto" w:after="20"/>
        <w:ind w:firstLine="283"/>
      </w:pPr>
      <w:r>
        <w:t>C. 将监管合规置于客户体验和运营效率之上</w:t>
      </w:r>
    </w:p>
    <w:p>
      <w:pPr>
        <w:spacing w:line="360" w:lineRule="auto" w:after="20"/>
        <w:ind w:firstLine="283"/>
      </w:pPr>
      <w:r>
        <w:t>D. 依靠自动化系统来检测和缓解AFC风险</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风险为本方法的核心是按风险程度分配资源与控制措施</w:t>
      </w:r>
    </w:p>
    <w:p>
      <w:pPr>
        <w:spacing w:before="120" w:after="40"/>
      </w:pPr>
      <w:r>
        <w:rPr>
          <w:b/>
          <w:sz w:val="21"/>
          <w:shd w:fill="D6E4F0" w:val="clear"/>
        </w:rPr>
        <w:t>核心解析</w:t>
      </w:r>
    </w:p>
    <w:p>
      <w:pPr>
        <w:spacing w:line="360" w:lineRule="auto" w:after="40"/>
        <w:ind w:firstLine="420"/>
      </w:pPr>
      <w:r>
        <w:t>风险为本方法指在识别最高风险后优先分配资源加以应对的过程</w:t>
      </w:r>
      <w:r>
        <w:rPr>
          <w:sz w:val="15"/>
          <w:vertAlign w:val="superscript"/>
        </w:rPr>
        <w:t>P381</w:t>
      </w:r>
      <w:r>
        <w:t>，并要求机构根据自身风险暴露程度优先排序并采取适当措施</w:t>
      </w:r>
      <w:r>
        <w:rPr>
          <w:sz w:val="15"/>
          <w:vertAlign w:val="superscript"/>
        </w:rPr>
        <w:t>P267</w:t>
      </w:r>
      <w:r>
        <w:t>。题干问及“通过何种方式了解和管理风险”，选项B直接对应了根据已识别风险的高低来分配资源并实施控制，这与教材对风险为本方法的定义完全吻合，因此成立。</w:t>
      </w:r>
    </w:p>
    <w:p>
      <w:pPr>
        <w:spacing w:before="120" w:after="40"/>
      </w:pPr>
      <w:r>
        <w:rPr>
          <w:b/>
          <w:sz w:val="21"/>
          <w:shd w:fill="D6E4F0" w:val="clear"/>
        </w:rPr>
        <w:t>教材原句</w:t>
      </w:r>
    </w:p>
    <w:p>
      <w:pPr>
        <w:spacing w:line="360" w:lineRule="auto" w:after="40"/>
        <w:ind w:firstLine="420"/>
      </w:pPr>
      <w:r>
        <w:t>"A risk-based approach refers to the process of identifying the highest risks and prioritizing resources to address them."</w:t>
      </w:r>
    </w:p>
    <w:p>
      <w:pPr>
        <w:spacing w:before="120" w:after="40"/>
      </w:pPr>
      <w:r>
        <w:rPr>
          <w:b/>
          <w:sz w:val="21"/>
          <w:shd w:fill="D6E4F0" w:val="clear"/>
        </w:rPr>
        <w:t>A项错误</w:t>
      </w:r>
    </w:p>
    <w:p>
      <w:pPr>
        <w:spacing w:line="360" w:lineRule="auto" w:after="40"/>
        <w:ind w:firstLine="420"/>
      </w:pPr>
      <w:r>
        <w:t>选项A主张对所有客户实施统一控制且不考虑风险状况。教材强调风险为本方法要求根据风险水平差异化调整措施</w:t>
      </w:r>
      <w:r>
        <w:rPr>
          <w:sz w:val="15"/>
          <w:vertAlign w:val="superscript"/>
        </w:rPr>
        <w:t>P270</w:t>
      </w:r>
      <w:r>
        <w:t>，而非采用一成不变的统一控制，因此A与风险为本方法的核心精神匹配度不如B。</w:t>
      </w:r>
    </w:p>
    <w:p>
      <w:pPr>
        <w:spacing w:before="120" w:after="40"/>
      </w:pPr>
      <w:r>
        <w:rPr>
          <w:b/>
          <w:sz w:val="21"/>
          <w:shd w:fill="D6E4F0" w:val="clear"/>
        </w:rPr>
        <w:t>C项错误</w:t>
      </w:r>
    </w:p>
    <w:p>
      <w:pPr>
        <w:spacing w:line="360" w:lineRule="auto" w:after="40"/>
        <w:ind w:firstLine="420"/>
      </w:pPr>
      <w:r>
        <w:t>风险为本方法重在识别风险后按优先级配置资源，而非简单地将监管合规凌驾于客户体验和运营效率之上。教材指出，采用新技术时可在保持运营效率的同时确保合规</w:t>
      </w:r>
      <w:r>
        <w:rPr>
          <w:sz w:val="15"/>
          <w:vertAlign w:val="superscript"/>
        </w:rPr>
        <w:t>P435</w:t>
      </w:r>
      <w:r>
        <w:t>，所以C对这一平衡关系的表述不如B贴近风险为本方法的本质。</w:t>
      </w:r>
    </w:p>
    <w:p>
      <w:pPr>
        <w:spacing w:before="120" w:after="40"/>
      </w:pPr>
      <w:r>
        <w:rPr>
          <w:b/>
          <w:sz w:val="21"/>
          <w:shd w:fill="D6E4F0" w:val="clear"/>
        </w:rPr>
        <w:t>D项错误</w:t>
      </w:r>
    </w:p>
    <w:p>
      <w:pPr>
        <w:spacing w:line="360" w:lineRule="auto" w:after="40"/>
        <w:ind w:firstLine="420"/>
      </w:pPr>
      <w:r>
        <w:t>依靠自动化系统是实施风险控制的一种可能手段，但教材在定义风险为本方法时并无此限定，而是指出选择技术前需先进行针对性风险评估</w:t>
      </w:r>
      <w:r>
        <w:rPr>
          <w:sz w:val="15"/>
          <w:vertAlign w:val="superscript"/>
        </w:rPr>
        <w:t>P381</w:t>
      </w:r>
      <w:r>
        <w:t>。因此D将某类工具上升到方法本身的层面，不如B直接体现风险为本方法的定义。</w:t>
      </w:r>
    </w:p>
    <w:p>
      <w:pPr>
        <w:spacing w:before="120" w:after="40"/>
      </w:pPr>
      <w:r>
        <w:rPr>
          <w:b/>
          <w:sz w:val="21"/>
          <w:shd w:fill="D6E4F0" w:val="clear"/>
        </w:rPr>
        <w:t>易错提醒</w:t>
      </w:r>
    </w:p>
    <w:p>
      <w:pPr>
        <w:spacing w:line="360" w:lineRule="auto" w:after="40"/>
        <w:ind w:firstLine="420"/>
      </w:pPr>
      <w:r>
        <w:t>风险为本方法不等于统一控制，也不等于依赖特定技术；其核心是根据已识别风险的程度差异化分配资源与控制力度。</w:t>
      </w:r>
    </w:p>
    <w:p>
      <w:pPr>
        <w:spacing w:line="360" w:lineRule="auto" w:after="120"/>
      </w:pPr>
      <w:r/>
    </w:p>
    <w:p>
      <w:pPr>
        <w:spacing w:line="360" w:lineRule="auto" w:after="40"/>
      </w:pPr>
      <w:r>
        <w:t>2. 金融机构(FIs)应当了解其他司法管辖区的反金融犯罪(AFC)和制裁监管制度，这一点至关重要，以便: ( )</w:t>
      </w:r>
    </w:p>
    <w:p>
      <w:pPr>
        <w:spacing w:line="360" w:lineRule="auto" w:after="20"/>
        <w:ind w:firstLine="283"/>
      </w:pPr>
      <w:r>
        <w:t>A. 确保遵守FI在其运营或有业务关系的所有国家的反洗钱和制裁要求，以避免因违反外国司法管辖区的规定而受到处罚</w:t>
      </w:r>
    </w:p>
    <w:p>
      <w:pPr>
        <w:spacing w:line="360" w:lineRule="auto" w:after="20"/>
        <w:ind w:firstLine="283"/>
      </w:pPr>
      <w:r>
        <w:t>B. 确保根据业务活动所在国的监管标准有选择地实施制裁制度，重点针对与本国监管标准一致的司法管辖区</w:t>
      </w:r>
    </w:p>
    <w:p>
      <w:pPr>
        <w:spacing w:line="360" w:lineRule="auto" w:after="20"/>
        <w:ind w:firstLine="283"/>
      </w:pPr>
      <w:r>
        <w:t>C. 补偿自动封禁和制裁规定在跨境交易中的有限适用性以及其对其他司法管辖区国内业务相关性的降低</w:t>
      </w:r>
    </w:p>
    <w:p>
      <w:pPr>
        <w:spacing w:line="360" w:lineRule="auto" w:after="20"/>
        <w:ind w:firstLine="283"/>
      </w:pPr>
      <w:r>
        <w:t>D. 确保FI能够在监管比其本国更严格或更宽松的司法管辖区管理业务关系，从而实现运营灵活性</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识别了解多辖区AFC/制裁法规的根本目的：全面合规与避免处罚</w:t>
      </w:r>
    </w:p>
    <w:p>
      <w:pPr>
        <w:spacing w:before="120" w:after="40"/>
      </w:pPr>
      <w:r>
        <w:rPr>
          <w:b/>
          <w:sz w:val="21"/>
          <w:shd w:fill="D6E4F0" w:val="clear"/>
        </w:rPr>
        <w:t>核心解析</w:t>
      </w:r>
    </w:p>
    <w:p>
      <w:pPr>
        <w:spacing w:line="360" w:lineRule="auto" w:after="40"/>
        <w:ind w:firstLine="420"/>
      </w:pPr>
      <w:r>
        <w:t>金融机构必须保持对多个司法管辖区金融犯罪防控法规的更新，以确保合规并有效管理风险</w:t>
      </w:r>
      <w:r>
        <w:rPr>
          <w:sz w:val="15"/>
          <w:vertAlign w:val="superscript"/>
        </w:rPr>
        <w:t>P388</w:t>
      </w:r>
      <w:r>
        <w:t>。题干问的正是“了解其他司法管辖区的AFC和制裁监管制度”的目的，这与教材强调的“确保在所有运营或存在业务关系的国家均符合反洗钱和制裁要求”完全一致；不遵守外国规定可能招致民事罚款、个人起诉甚至被列为制裁目标</w:t>
      </w:r>
      <w:r>
        <w:rPr>
          <w:sz w:val="15"/>
          <w:vertAlign w:val="superscript"/>
        </w:rPr>
        <w:t>P23</w:t>
      </w:r>
      <w:r>
        <w:t>。因此，选项A“确保遵守 FI 在其运营或有业务关系的所有国家的反洗钱和制裁要求，以避免因违反外国司法管辖区的规定而受到处罚”直接对应了这一义务。跨国机构在制定政策时也必须使自身制度符合各国法律，必要时还需在某些司法管辖区实施更高标准</w:t>
      </w:r>
      <w:r>
        <w:rPr>
          <w:sz w:val="15"/>
          <w:vertAlign w:val="superscript"/>
        </w:rPr>
        <w:t>P292</w:t>
      </w:r>
      <w:r>
        <w:t>，但这一切的出发点都是全面合规和规避处罚，不是选择性适用规则，也不是为了运营灵活性。</w:t>
      </w:r>
    </w:p>
    <w:p>
      <w:pPr>
        <w:spacing w:before="120" w:after="40"/>
      </w:pPr>
      <w:r>
        <w:rPr>
          <w:b/>
          <w:sz w:val="21"/>
          <w:shd w:fill="D6E4F0" w:val="clear"/>
        </w:rPr>
        <w:t>教材原句</w:t>
      </w:r>
    </w:p>
    <w:p>
      <w:pPr>
        <w:spacing w:line="360" w:lineRule="auto" w:after="40"/>
        <w:ind w:firstLine="420"/>
      </w:pPr>
      <w:r>
        <w:t>"Financial institutions must stay up to date with AFC regulations across multiple jurisdictions to ensure compliance and manage risks effectively."</w:t>
      </w:r>
    </w:p>
    <w:p>
      <w:pPr>
        <w:spacing w:before="120" w:after="40"/>
      </w:pPr>
      <w:r>
        <w:rPr>
          <w:b/>
          <w:sz w:val="21"/>
          <w:shd w:fill="D6E4F0" w:val="clear"/>
        </w:rPr>
        <w:t>B项错误</w:t>
      </w:r>
    </w:p>
    <w:p>
      <w:pPr>
        <w:spacing w:line="360" w:lineRule="auto" w:after="40"/>
        <w:ind w:firstLine="420"/>
      </w:pPr>
      <w:r>
        <w:t>选项B主张“有选择地实施制裁制度，重点针对与本国监管标准一致的司法管辖区”，这与教材“跨国机构需使政策符合各国法律，同时维持全球金融犯罪防控原则”的要求相悖</w:t>
      </w:r>
      <w:r>
        <w:rPr>
          <w:sz w:val="15"/>
          <w:vertAlign w:val="superscript"/>
        </w:rPr>
        <w:t>P292</w:t>
      </w:r>
      <w:r>
        <w:t>。了解其他辖区制度的目的恰恰是避免因为只关注一致的法律而忽略不一致法规所导致的合规缺口，题干条件更直接支持全面合规而非选择性适用。</w:t>
      </w:r>
    </w:p>
    <w:p>
      <w:pPr>
        <w:spacing w:before="120" w:after="40"/>
      </w:pPr>
      <w:r>
        <w:rPr>
          <w:b/>
          <w:sz w:val="21"/>
          <w:shd w:fill="D6E4F0" w:val="clear"/>
        </w:rPr>
        <w:t>C项错误</w:t>
      </w:r>
    </w:p>
    <w:p>
      <w:pPr>
        <w:spacing w:line="360" w:lineRule="auto" w:after="40"/>
        <w:ind w:firstLine="420"/>
      </w:pPr>
      <w:r>
        <w:t>选项C提到“补偿自动封禁和制裁规定在跨境交易中的有限适用性”，而教材的逻辑是跨境交易本身使得企业必须考虑多个司法辖区的法规</w:t>
      </w:r>
      <w:r>
        <w:rPr>
          <w:sz w:val="15"/>
          <w:vertAlign w:val="superscript"/>
        </w:rPr>
        <w:t>P178</w:t>
      </w:r>
      <w:r>
        <w:t>，而不是因为法规的适用性有限才去了解。教材从未将了解外国制度描述为一种补偿机制；相比之下，选项A强调的遵守所有相关国家要求更吻合教材对跨辖区合规的解释。</w:t>
      </w:r>
    </w:p>
    <w:p>
      <w:pPr>
        <w:spacing w:before="120" w:after="40"/>
      </w:pPr>
      <w:r>
        <w:rPr>
          <w:b/>
          <w:sz w:val="21"/>
          <w:shd w:fill="D6E4F0" w:val="clear"/>
        </w:rPr>
        <w:t>D项错误</w:t>
      </w:r>
    </w:p>
    <w:p>
      <w:pPr>
        <w:spacing w:line="360" w:lineRule="auto" w:after="40"/>
        <w:ind w:firstLine="420"/>
      </w:pPr>
      <w:r>
        <w:t>选项D落脚于“实现运营灵活性”，而教材指出犯罪分子会利用监管宽松的司法管辖区进行监管套利</w:t>
      </w:r>
      <w:r>
        <w:rPr>
          <w:sz w:val="15"/>
          <w:vertAlign w:val="superscript"/>
        </w:rPr>
        <w:t>P434</w:t>
      </w:r>
      <w:r>
        <w:t>，金融机构了解这些差异主要是为了管理风险、执行一致的全球标准而非获取灵活性。跨国合规的立足点是“确保遵守所有法律和报告要求”</w:t>
      </w:r>
      <w:r>
        <w:rPr>
          <w:sz w:val="15"/>
          <w:vertAlign w:val="superscript"/>
        </w:rPr>
        <w:t>P356</w:t>
      </w:r>
      <w:r>
        <w:t>，而不是利用监管差异追求运营便利。因此，正确项A比D更直接反映题干问的“以便”所要达成的合规目的。</w:t>
      </w:r>
    </w:p>
    <w:p>
      <w:pPr>
        <w:spacing w:before="120" w:after="40"/>
      </w:pPr>
      <w:r>
        <w:rPr>
          <w:b/>
          <w:sz w:val="21"/>
          <w:shd w:fill="D6E4F0" w:val="clear"/>
        </w:rPr>
        <w:t>易错提醒</w:t>
      </w:r>
    </w:p>
    <w:p>
      <w:pPr>
        <w:spacing w:line="360" w:lineRule="auto" w:after="40"/>
        <w:ind w:firstLine="420"/>
      </w:pPr>
      <w:r>
        <w:t>有些选项把“了解多辖区法规”理解为可以从中选择性地遵守或利用差异获得灵活性，但教材的核心出发点是“金融机构必须及时了解多个司法辖区的金融犯罪防控法规，以确保合规并有效管理风险”</w:t>
      </w:r>
      <w:r>
        <w:rPr>
          <w:sz w:val="15"/>
          <w:vertAlign w:val="superscript"/>
        </w:rPr>
        <w:t>P388</w:t>
      </w:r>
      <w:r>
        <w:t>，目的是无一遗漏地满足所有涉及辖区的法律要求，而不是为了挑选对自己有利的规则。</w:t>
      </w:r>
    </w:p>
    <w:p>
      <w:pPr>
        <w:spacing w:line="360" w:lineRule="auto" w:after="120"/>
      </w:pPr>
      <w:r/>
    </w:p>
    <w:p>
      <w:pPr>
        <w:spacing w:line="360" w:lineRule="auto" w:after="40"/>
      </w:pPr>
      <w:r>
        <w:t>3. 在为组织选择反金融犯罪(AFC)工具时,最重要的考虑因素是该工具是否: ( )</w:t>
      </w:r>
    </w:p>
    <w:p>
      <w:pPr>
        <w:spacing w:line="360" w:lineRule="auto" w:after="20"/>
        <w:ind w:firstLine="283"/>
      </w:pPr>
      <w:r>
        <w:t>A. 与现有系统和流程无缝集成.</w:t>
      </w:r>
    </w:p>
    <w:p>
      <w:pPr>
        <w:spacing w:line="360" w:lineRule="auto" w:after="20"/>
        <w:ind w:firstLine="283"/>
      </w:pPr>
      <w:r>
        <w:t>B. 符合预算和成本要求.</w:t>
      </w:r>
    </w:p>
    <w:p>
      <w:pPr>
        <w:spacing w:line="360" w:lineRule="auto" w:after="20"/>
        <w:ind w:firstLine="283"/>
      </w:pPr>
      <w:r>
        <w:t>C. 自动化所有监管报告要求.</w:t>
      </w:r>
    </w:p>
    <w:p>
      <w:pPr>
        <w:spacing w:line="360" w:lineRule="auto" w:after="20"/>
        <w:ind w:firstLine="283"/>
      </w:pPr>
      <w:r>
        <w:t>D. 取代了对员工进行的合规性培训的人工方式.</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评估AFC技术时，与现有系统集成是教材指出的最关键因素</w:t>
      </w:r>
    </w:p>
    <w:p>
      <w:pPr>
        <w:spacing w:before="120" w:after="40"/>
      </w:pPr>
      <w:r>
        <w:rPr>
          <w:b/>
          <w:sz w:val="21"/>
          <w:shd w:fill="D6E4F0" w:val="clear"/>
        </w:rPr>
        <w:t>核心解析</w:t>
      </w:r>
    </w:p>
    <w:p>
      <w:pPr>
        <w:spacing w:line="360" w:lineRule="auto" w:after="40"/>
        <w:ind w:firstLine="420"/>
      </w:pPr>
      <w:r>
        <w:t>教材在P389列出评估新AFC技术的四个关键考量：可扩展性（scalability）、灵活架构（flexible architecture）、集成（integration）与协作（collaboration）。其中，集成的要求是简化工作流、确保工具与数据集之间的互操作性</w:t>
      </w:r>
      <w:r>
        <w:rPr>
          <w:sz w:val="15"/>
          <w:vertAlign w:val="superscript"/>
        </w:rPr>
        <w:t>P390</w:t>
      </w:r>
      <w:r>
        <w:t>。教材进一步指出，与现有合规系统无缝集成有助于金融机构保持反洗钱策略一致性，避免运营中断</w:t>
      </w:r>
      <w:r>
        <w:rPr>
          <w:sz w:val="15"/>
          <w:vertAlign w:val="superscript"/>
        </w:rPr>
        <w:t>P455</w:t>
      </w:r>
      <w:r>
        <w:t>。题干问的是选择AFC工具时“最重要”的因素，而教材框架中，“集成”被列为四大核心考量之一，且其定义直接对应选项A“与现有系统和流程无缝集成”。相比之下，预算、自动化报告、替代培训在教材中均未被列为评估技术时的首要或核心考量，因此A的匹配度最高。</w:t>
      </w:r>
    </w:p>
    <w:p>
      <w:pPr>
        <w:spacing w:before="120" w:after="40"/>
      </w:pPr>
      <w:r>
        <w:rPr>
          <w:b/>
          <w:sz w:val="21"/>
          <w:shd w:fill="D6E4F0" w:val="clear"/>
        </w:rPr>
        <w:t>B项错误</w:t>
      </w:r>
    </w:p>
    <w:p>
      <w:pPr>
        <w:spacing w:line="360" w:lineRule="auto" w:after="40"/>
        <w:ind w:firstLine="420"/>
      </w:pPr>
      <w:r>
        <w:t>教材提及AFC合规支出应在维持有效性的前提下平衡系统成本</w:t>
      </w:r>
      <w:r>
        <w:rPr>
          <w:sz w:val="15"/>
          <w:vertAlign w:val="superscript"/>
        </w:rPr>
        <w:t>P383</w:t>
      </w:r>
      <w:r>
        <w:t>，但成本被放在“为合规支出带来最优价值”的语境下讨论，并非选择工具时的首要独立考量。题干问的是“最重要”因素，教材框架中“集成”是四大关键考量之一，而成本只是配套考虑。如果题干问的是“实施预算约束下的取舍”，预算才可能成为优先项。</w:t>
      </w:r>
    </w:p>
    <w:p>
      <w:pPr>
        <w:spacing w:before="120" w:after="40"/>
      </w:pPr>
      <w:r>
        <w:rPr>
          <w:b/>
          <w:sz w:val="21"/>
          <w:shd w:fill="D6E4F0" w:val="clear"/>
        </w:rPr>
        <w:t>C项错误</w:t>
      </w:r>
    </w:p>
    <w:p>
      <w:pPr>
        <w:spacing w:line="360" w:lineRule="auto" w:after="40"/>
        <w:ind w:firstLine="420"/>
      </w:pPr>
      <w:r>
        <w:t>教材指出SAR的叙述部分是“最重要的组成部分”，需要人工回答案件的谁、什么、地点、时间、原因和方式</w:t>
      </w:r>
      <w:r>
        <w:rPr>
          <w:sz w:val="15"/>
          <w:vertAlign w:val="superscript"/>
        </w:rPr>
        <w:t>P354</w:t>
      </w:r>
      <w:r>
        <w:t>，这表明监管报告的决策和实质内容仍依赖人工判断。工具可以帮助生成SAR、提升自动化水平，但“自动化所有监管报告要求”超出了教材描述的技术能力范围，与教材对人工叙述的强调不吻合。</w:t>
      </w:r>
    </w:p>
    <w:p>
      <w:pPr>
        <w:spacing w:before="120" w:after="40"/>
      </w:pPr>
      <w:r>
        <w:rPr>
          <w:b/>
          <w:sz w:val="21"/>
          <w:shd w:fill="D6E4F0" w:val="clear"/>
        </w:rPr>
        <w:t>D项错误</w:t>
      </w:r>
    </w:p>
    <w:p>
      <w:pPr>
        <w:spacing w:line="360" w:lineRule="auto" w:after="40"/>
        <w:ind w:firstLine="420"/>
      </w:pPr>
      <w:r>
        <w:t>教材将定期、持续的AML培训列为反洗钱合规计划的第三大支柱</w:t>
      </w:r>
      <w:r>
        <w:rPr>
          <w:sz w:val="15"/>
          <w:vertAlign w:val="superscript"/>
        </w:rPr>
        <w:t>P245</w:t>
      </w:r>
      <w:r>
        <w:t>，培训由HR等部门制定实施。教材在讨论eKYC时提到技术“取代传统纸质方法”</w:t>
      </w:r>
      <w:r>
        <w:rPr>
          <w:sz w:val="15"/>
          <w:vertAlign w:val="superscript"/>
        </w:rPr>
        <w:t>P405</w:t>
      </w:r>
      <w:r>
        <w:t>，但从未提及AFC工具可取代员工培训。工具能辅助、优化流程，但培训是独立的合规义务，工具并不替代其人工方式。</w:t>
      </w:r>
    </w:p>
    <w:p>
      <w:pPr>
        <w:spacing w:before="120" w:after="40"/>
      </w:pPr>
      <w:r>
        <w:rPr>
          <w:b/>
          <w:sz w:val="21"/>
          <w:shd w:fill="D6E4F0" w:val="clear"/>
        </w:rPr>
        <w:t>易错提醒</w:t>
      </w:r>
    </w:p>
    <w:p>
      <w:pPr>
        <w:spacing w:line="360" w:lineRule="auto" w:after="40"/>
        <w:ind w:firstLine="420"/>
      </w:pPr>
      <w:r>
        <w:t>集成（integration）与灵活架构（flexible architecture）易混淆。集成关注的是工具与现有系统、数据集的互操作性和工作流简化</w:t>
      </w:r>
      <w:r>
        <w:rPr>
          <w:sz w:val="15"/>
          <w:vertAlign w:val="superscript"/>
        </w:rPr>
        <w:t>P390</w:t>
      </w:r>
      <w:r>
        <w:t>，侧重“两个东西能不能协同工作”；灵活架构则关注跨数据平台和应用层的无缝连接能力，侧重技术本身的架构设计</w:t>
      </w:r>
      <w:r>
        <w:rPr>
          <w:sz w:val="15"/>
          <w:vertAlign w:val="superscript"/>
        </w:rPr>
        <w:t>P389</w:t>
      </w:r>
      <w:r>
        <w:t>。前者是结果，后者是达成结果的基础条件。</w:t>
      </w:r>
    </w:p>
    <w:p>
      <w:pPr>
        <w:spacing w:line="360" w:lineRule="auto" w:after="120"/>
      </w:pPr>
      <w:r/>
    </w:p>
    <w:p>
      <w:pPr>
        <w:spacing w:line="360" w:lineRule="auto" w:after="40"/>
      </w:pPr>
      <w:r>
        <w:t>4. [洗钱和恐怖融资的风险及方法]在交易监控中,从基于规则的方法转向基于人工智能(AI)和机器学习的工具,通常会带来哪些好处？(选择三项.) ( )</w:t>
      </w:r>
    </w:p>
    <w:p>
      <w:pPr>
        <w:spacing w:line="360" w:lineRule="auto" w:after="20"/>
        <w:ind w:firstLine="283"/>
      </w:pPr>
      <w:r>
        <w:t>A. 长期内假阳性数量的减少</w:t>
      </w:r>
    </w:p>
    <w:p>
      <w:pPr>
        <w:spacing w:line="360" w:lineRule="auto" w:after="20"/>
        <w:ind w:firstLine="283"/>
      </w:pPr>
      <w:r>
        <w:t>B. 合规流程的全面自动化</w:t>
      </w:r>
    </w:p>
    <w:p>
      <w:pPr>
        <w:spacing w:line="360" w:lineRule="auto" w:after="20"/>
        <w:ind w:firstLine="283"/>
      </w:pPr>
      <w:r>
        <w:t>C. 消除对人工监督的需求</w:t>
      </w:r>
    </w:p>
    <w:p>
      <w:pPr>
        <w:spacing w:line="360" w:lineRule="auto" w:after="20"/>
        <w:ind w:firstLine="283"/>
      </w:pPr>
      <w:r>
        <w:t>D. 更强的适应不断变化的金融犯罪风险的灵活性</w:t>
      </w:r>
    </w:p>
    <w:p>
      <w:pPr>
        <w:spacing w:line="360" w:lineRule="auto" w:after="20"/>
        <w:ind w:firstLine="283"/>
      </w:pPr>
      <w:r>
        <w:t>E. 更强的检测新出现的模式和异常的能力</w:t>
      </w:r>
    </w:p>
    <w:p>
      <w:pPr>
        <w:spacing w:line="360" w:lineRule="auto" w:after="40"/>
      </w:pPr>
      <w:r>
        <w:t>答案:A、D、E</w:t>
      </w:r>
    </w:p>
    <w:p>
      <w:pPr>
        <w:spacing w:line="360" w:lineRule="auto" w:after="40"/>
      </w:pPr>
      <w:r>
        <w:t>解析：</w:t>
      </w:r>
    </w:p>
    <w:p>
      <w:pPr>
        <w:spacing w:before="120" w:after="40"/>
      </w:pPr>
      <w:r>
        <w:rPr>
          <w:b/>
          <w:sz w:val="21"/>
          <w:shd w:fill="D6E4F0" w:val="clear"/>
        </w:rPr>
        <w:t>考点</w:t>
      </w:r>
    </w:p>
    <w:p>
      <w:pPr>
        <w:spacing w:line="360" w:lineRule="auto" w:after="40"/>
        <w:ind w:firstLine="420"/>
      </w:pPr>
      <w:r>
        <w:t>AI/机器学习相比规则系统的交易监控优势</w:t>
      </w:r>
    </w:p>
    <w:p>
      <w:pPr>
        <w:spacing w:before="120" w:after="40"/>
      </w:pPr>
      <w:r>
        <w:rPr>
          <w:b/>
          <w:sz w:val="21"/>
          <w:shd w:fill="D6E4F0" w:val="clear"/>
        </w:rPr>
        <w:t>核心解析</w:t>
      </w:r>
    </w:p>
    <w:p>
      <w:pPr>
        <w:spacing w:line="360" w:lineRule="auto" w:after="40"/>
        <w:ind w:firstLine="420"/>
      </w:pPr>
      <w:r>
        <w:t>传统规则系统依赖预设阈值触发警报，会产生大量误报，需要人工审核</w:t>
      </w:r>
      <w:r>
        <w:rPr>
          <w:sz w:val="15"/>
          <w:vertAlign w:val="superscript"/>
        </w:rPr>
        <w:t>P385</w:t>
      </w:r>
      <w:r>
        <w:t>。机器学习算法能分析海量数据、动态调整警报阈值，从而在长期内显著减少误报数量</w:t>
      </w:r>
      <w:r>
        <w:rPr>
          <w:sz w:val="15"/>
          <w:vertAlign w:val="superscript"/>
        </w:rPr>
        <w:t>P385</w:t>
      </w:r>
      <w:r>
        <w:t>，因此A正确。金融犯罪风险动态演变</w:t>
      </w:r>
      <w:r>
        <w:rPr>
          <w:sz w:val="15"/>
          <w:vertAlign w:val="superscript"/>
        </w:rPr>
        <w:t>P283</w:t>
      </w:r>
      <w:r>
        <w:t>，AI和机器学习支持持续自动调优，使系统能够灵活适应不断变化的洗钱手法和威胁</w:t>
      </w:r>
      <w:r>
        <w:rPr>
          <w:sz w:val="15"/>
          <w:vertAlign w:val="superscript"/>
        </w:rPr>
        <w:t>P438</w:t>
      </w:r>
      <w:r>
        <w:t>，因此D正确。同时，AI驱动的交易监控能够识别可疑模式和异常行为，检测传统规则可能遗漏的细微、非明显模式以及新兴洗钱类型</w:t>
      </w:r>
      <w:r>
        <w:rPr>
          <w:sz w:val="15"/>
          <w:vertAlign w:val="superscript"/>
        </w:rPr>
        <w:t>P330、P398</w:t>
      </w:r>
      <w:r>
        <w:t>，因此E正确。这三个好处共同体现了AI/机器学习在交易监控中作为增强性工具的定位——提升检测能力、降低误报并保持对变化的适应力，但不承诺全面自动化或取消人工监督。</w:t>
      </w:r>
    </w:p>
    <w:p>
      <w:pPr>
        <w:spacing w:before="120" w:after="40"/>
      </w:pPr>
      <w:r>
        <w:rPr>
          <w:b/>
          <w:sz w:val="21"/>
          <w:shd w:fill="D6E4F0" w:val="clear"/>
        </w:rPr>
        <w:t>B项错误</w:t>
      </w:r>
    </w:p>
    <w:p>
      <w:pPr>
        <w:spacing w:line="360" w:lineRule="auto" w:after="40"/>
        <w:ind w:firstLine="420"/>
      </w:pPr>
      <w:r>
        <w:t>教材中AI/ML能自动化部分重复性任务</w:t>
      </w:r>
      <w:r>
        <w:rPr>
          <w:sz w:val="15"/>
          <w:vertAlign w:val="superscript"/>
        </w:rPr>
        <w:t>P385</w:t>
      </w:r>
      <w:r>
        <w:t>，但“全面自动化”的绝对表述超出了教材支持的范畴。教材强调AI系统通常起补充和支持作用，而非完全取代现有流程</w:t>
      </w:r>
      <w:r>
        <w:rPr>
          <w:sz w:val="15"/>
          <w:vertAlign w:val="superscript"/>
        </w:rPr>
        <w:t>P387</w:t>
      </w:r>
      <w:r>
        <w:t>，并且调查中仍需平衡机器效率与人工监督</w:t>
      </w:r>
      <w:r>
        <w:rPr>
          <w:sz w:val="15"/>
          <w:vertAlign w:val="superscript"/>
        </w:rPr>
        <w:t>P452</w:t>
      </w:r>
      <w:r>
        <w:t>。在转向AI后，合规流程仍须保留人工参与，因此“全面自动化”不如A、D、E指向的渐进改善更吻合教材观点。</w:t>
      </w:r>
    </w:p>
    <w:p>
      <w:pPr>
        <w:spacing w:before="120" w:after="40"/>
      </w:pPr>
      <w:r>
        <w:rPr>
          <w:b/>
          <w:sz w:val="21"/>
          <w:shd w:fill="D6E4F0" w:val="clear"/>
        </w:rPr>
        <w:t>C项错误</w:t>
      </w:r>
    </w:p>
    <w:p>
      <w:pPr>
        <w:spacing w:line="360" w:lineRule="auto" w:after="40"/>
        <w:ind w:firstLine="420"/>
      </w:pPr>
      <w:r>
        <w:t>教材明确说明AI仍处早期阶段，目前不太可能完全消除人工监督，AI系统是补充而非替代人工</w:t>
      </w:r>
      <w:r>
        <w:rPr>
          <w:sz w:val="15"/>
          <w:vertAlign w:val="superscript"/>
        </w:rPr>
        <w:t>P387</w:t>
      </w:r>
      <w:r>
        <w:t>。在交易监控中，自动化工具标记异常活动后，仍须由分析师审核验证以过滤误报</w:t>
      </w:r>
      <w:r>
        <w:rPr>
          <w:sz w:val="15"/>
          <w:vertAlign w:val="superscript"/>
        </w:rPr>
        <w:t>P452</w:t>
      </w:r>
      <w:r>
        <w:t>。因此“消除对人工监督的需求”与教材立场直接冲突，同A、D、E所示的增强性好处相比，该项属于过度承诺。</w:t>
      </w:r>
    </w:p>
    <w:p>
      <w:pPr>
        <w:spacing w:before="120" w:after="40"/>
      </w:pPr>
      <w:r>
        <w:rPr>
          <w:b/>
          <w:sz w:val="21"/>
          <w:shd w:fill="D6E4F0" w:val="clear"/>
        </w:rPr>
        <w:t>易错提醒</w:t>
      </w:r>
    </w:p>
    <w:p>
      <w:pPr>
        <w:spacing w:line="360" w:lineRule="auto" w:after="40"/>
        <w:ind w:firstLine="420"/>
      </w:pPr>
      <w:r>
        <w:t>在涉及AI/ML好处的题目中，出现“全面自动化”、“消除人工需求”等绝对化表述时，通常与教材“辅助而非替代”的立场不符。教材始终强调AI在当前阶段是对人工的补充，带来误报减少、灵活适应和模式检测等品质改善，而不会导致整个流程无人化。遇到此类绝对词选项可直接怀疑其夸大性。</w:t>
      </w:r>
    </w:p>
    <w:p>
      <w:pPr>
        <w:spacing w:line="360" w:lineRule="auto" w:after="120"/>
      </w:pPr>
      <w:r/>
    </w:p>
    <w:p>
      <w:pPr>
        <w:spacing w:line="360" w:lineRule="auto" w:after="40"/>
      </w:pPr>
      <w:r>
        <w:t>5. [洗钱和恐怖融资的风险及方法]在采用基于风险的方法(RBA)的反金融犯罪(AFC)计划中哪些策略最有效用于资源优先级排序？(选择两项.) ( )</w:t>
      </w:r>
    </w:p>
    <w:p>
      <w:pPr>
        <w:spacing w:line="360" w:lineRule="auto" w:after="20"/>
        <w:ind w:firstLine="283"/>
      </w:pPr>
      <w:r>
        <w:t>A. 将资源优先分配给风险较低的领域以减轻工作负担</w:t>
      </w:r>
    </w:p>
    <w:p>
      <w:pPr>
        <w:spacing w:line="360" w:lineRule="auto" w:after="20"/>
        <w:ind w:firstLine="283"/>
      </w:pPr>
      <w:r>
        <w:t>B. 定期重新评估风险以调整资源配置</w:t>
      </w:r>
    </w:p>
    <w:p>
      <w:pPr>
        <w:spacing w:line="360" w:lineRule="auto" w:after="20"/>
        <w:ind w:firstLine="283"/>
      </w:pPr>
      <w:r>
        <w:t>C. 向金融犯罪风险较高的领域分配更多资源</w:t>
      </w:r>
    </w:p>
    <w:p>
      <w:pPr>
        <w:spacing w:line="360" w:lineRule="auto" w:after="20"/>
        <w:ind w:firstLine="283"/>
      </w:pPr>
      <w:r>
        <w:t>D. 向所有部门提供同等资源以保持一致性</w:t>
      </w:r>
    </w:p>
    <w:p>
      <w:pPr>
        <w:spacing w:line="360" w:lineRule="auto" w:after="20"/>
        <w:ind w:firstLine="283"/>
      </w:pPr>
      <w:r>
        <w:t>E. 使用不作调整的固定资源分配计划</w:t>
      </w:r>
    </w:p>
    <w:p>
      <w:pPr>
        <w:spacing w:line="360" w:lineRule="auto" w:after="40"/>
      </w:pPr>
      <w:r>
        <w:t>答案:B、C</w:t>
      </w:r>
    </w:p>
    <w:p>
      <w:pPr>
        <w:spacing w:line="360" w:lineRule="auto" w:after="40"/>
      </w:pPr>
      <w:r>
        <w:t>解析：</w:t>
      </w:r>
    </w:p>
    <w:p>
      <w:pPr>
        <w:spacing w:before="120" w:after="40"/>
      </w:pPr>
      <w:r>
        <w:rPr>
          <w:b/>
          <w:sz w:val="21"/>
          <w:shd w:fill="D6E4F0" w:val="clear"/>
        </w:rPr>
        <w:t>考点</w:t>
      </w:r>
    </w:p>
    <w:p>
      <w:pPr>
        <w:spacing w:line="360" w:lineRule="auto" w:after="40"/>
        <w:ind w:firstLine="420"/>
      </w:pPr>
      <w:r>
        <w:t>风险为本方法下资源优先级排序的核心原则</w:t>
      </w:r>
    </w:p>
    <w:p>
      <w:pPr>
        <w:spacing w:before="120" w:after="40"/>
      </w:pPr>
      <w:r>
        <w:rPr>
          <w:b/>
          <w:sz w:val="21"/>
          <w:shd w:fill="D6E4F0" w:val="clear"/>
        </w:rPr>
        <w:t>核心解析</w:t>
      </w:r>
    </w:p>
    <w:p>
      <w:pPr>
        <w:spacing w:line="360" w:lineRule="auto" w:after="40"/>
        <w:ind w:firstLine="420"/>
      </w:pPr>
      <w:r>
        <w:t>风险为本方法（RBA）是指识别最高风险并优先将资源分配给这些风险领域的过程</w:t>
      </w:r>
      <w:r>
        <w:rPr>
          <w:sz w:val="15"/>
          <w:vertAlign w:val="superscript"/>
        </w:rPr>
        <w:t>P381</w:t>
      </w:r>
      <w:r>
        <w:t>。同时，RBA要求组织优先对高风险客户、司法管辖区和服务投入资源</w:t>
      </w:r>
      <w:r>
        <w:rPr>
          <w:sz w:val="15"/>
          <w:vertAlign w:val="superscript"/>
        </w:rPr>
        <w:t>P218</w:t>
      </w:r>
      <w:r>
        <w:t>，并将精力集中于最需要和影响最大的领域</w:t>
      </w:r>
      <w:r>
        <w:rPr>
          <w:sz w:val="15"/>
          <w:vertAlign w:val="superscript"/>
        </w:rPr>
        <w:t>P271</w:t>
      </w:r>
      <w:r>
        <w:t>。因此，向金融犯罪风险较高的领域分配更多资源（C）直接体现了RBA最根本的优先级原则。另一方面，金融犯罪风险是动态且不断演变的，组织必须在业务发生重大变化时重新评估风险</w:t>
      </w:r>
      <w:r>
        <w:rPr>
          <w:sz w:val="15"/>
          <w:vertAlign w:val="superscript"/>
        </w:rPr>
        <w:t>P283</w:t>
      </w:r>
      <w:r>
        <w:t>，也可能定期重新评估风险敞口并调整风险偏好声明</w:t>
      </w:r>
      <w:r>
        <w:rPr>
          <w:sz w:val="15"/>
          <w:vertAlign w:val="superscript"/>
        </w:rPr>
        <w:t>P272</w:t>
      </w:r>
      <w:r>
        <w:t>。这意味着，定期重新评估风险以调整资源配置（B）是保证资源优先级排序始终与当前风险状况匹配的关键机制。两项策略均直接出自RBA的定义与实施要求，因而最有效。</w:t>
      </w:r>
    </w:p>
    <w:p>
      <w:pPr>
        <w:spacing w:before="120" w:after="40"/>
      </w:pPr>
      <w:r>
        <w:rPr>
          <w:b/>
          <w:sz w:val="21"/>
          <w:shd w:fill="D6E4F0" w:val="clear"/>
        </w:rPr>
        <w:t>教材原句</w:t>
      </w:r>
    </w:p>
    <w:p>
      <w:pPr>
        <w:spacing w:line="360" w:lineRule="auto" w:after="40"/>
        <w:ind w:firstLine="420"/>
      </w:pPr>
      <w:r>
        <w:t>"A risk-based approach refers to the process of identifying the highest risks and prioritizing resources to address them."</w:t>
      </w:r>
    </w:p>
    <w:p>
      <w:pPr>
        <w:spacing w:before="120" w:after="40"/>
      </w:pPr>
      <w:r>
        <w:rPr>
          <w:b/>
          <w:sz w:val="21"/>
          <w:shd w:fill="D6E4F0" w:val="clear"/>
        </w:rPr>
        <w:t>A项错误</w:t>
      </w:r>
    </w:p>
    <w:p>
      <w:pPr>
        <w:spacing w:line="360" w:lineRule="auto" w:after="40"/>
        <w:ind w:firstLine="420"/>
      </w:pPr>
      <w:r>
        <w:t>将资源优先分配给风险较低的领域，与RBA优先最高风险的原则方向相反。在教材框架下，题干更直接支持将资源集中于高风险领域（C），低风险区域的减轻负担并非RBA资源排序的首要目标。</w:t>
      </w:r>
    </w:p>
    <w:p>
      <w:pPr>
        <w:spacing w:before="120" w:after="40"/>
      </w:pPr>
      <w:r>
        <w:rPr>
          <w:b/>
          <w:sz w:val="21"/>
          <w:shd w:fill="D6E4F0" w:val="clear"/>
        </w:rPr>
        <w:t>D项错误</w:t>
      </w:r>
    </w:p>
    <w:p>
      <w:pPr>
        <w:spacing w:line="360" w:lineRule="auto" w:after="40"/>
        <w:ind w:firstLine="420"/>
      </w:pPr>
      <w:r>
        <w:t>向所有部门提供同等资源属于“一刀切”做法，而教材指出一刀切在风险监控中不适用</w:t>
      </w:r>
      <w:r>
        <w:rPr>
          <w:sz w:val="15"/>
          <w:vertAlign w:val="superscript"/>
        </w:rPr>
        <w:t>P442</w:t>
      </w:r>
      <w:r>
        <w:t>。RBA要求资源分配与风险水平成正比，正确项（B、C）更贴合按风险差异化配置的原则。</w:t>
      </w:r>
    </w:p>
    <w:p>
      <w:pPr>
        <w:spacing w:before="120" w:after="40"/>
      </w:pPr>
      <w:r>
        <w:rPr>
          <w:b/>
          <w:sz w:val="21"/>
          <w:shd w:fill="D6E4F0" w:val="clear"/>
        </w:rPr>
        <w:t>E项错误</w:t>
      </w:r>
    </w:p>
    <w:p>
      <w:pPr>
        <w:spacing w:line="360" w:lineRule="auto" w:after="40"/>
        <w:ind w:firstLine="420"/>
      </w:pPr>
      <w:r>
        <w:t>固定不作调整的分配计划忽略了风险的动态性。教材强调必须定期重新评估风险</w:t>
      </w:r>
      <w:r>
        <w:rPr>
          <w:sz w:val="15"/>
          <w:vertAlign w:val="superscript"/>
        </w:rPr>
        <w:t>P283</w:t>
      </w:r>
      <w:r>
        <w:t>并调整资源，正确项（B）所提供的定期调整更吻合RBA持续应对风险变化的要求。</w:t>
      </w:r>
    </w:p>
    <w:p>
      <w:pPr>
        <w:spacing w:line="360" w:lineRule="auto" w:after="120"/>
      </w:pPr>
      <w:r/>
    </w:p>
    <w:p>
      <w:pPr>
        <w:spacing w:line="360" w:lineRule="auto" w:after="40"/>
      </w:pPr>
      <w:r>
        <w:t>6. 以下哪些是进行地平线扫描的有效方法？(选择两项.) ( )</w:t>
      </w:r>
    </w:p>
    <w:p>
      <w:pPr>
        <w:spacing w:line="360" w:lineRule="auto" w:after="20"/>
        <w:ind w:firstLine="283"/>
      </w:pPr>
      <w:r>
        <w:t>A. 订阅监管机构的通讯简报</w:t>
      </w:r>
    </w:p>
    <w:p>
      <w:pPr>
        <w:spacing w:line="360" w:lineRule="auto" w:after="20"/>
        <w:ind w:firstLine="283"/>
      </w:pPr>
      <w:r>
        <w:t>B. 使用专门的监管地平线扫描服务提供商</w:t>
      </w:r>
    </w:p>
    <w:p>
      <w:pPr>
        <w:spacing w:line="360" w:lineRule="auto" w:after="20"/>
        <w:ind w:firstLine="283"/>
      </w:pPr>
      <w:r>
        <w:t>C. 定期与监管机构联系，询问最新情况和未来发展趋势</w:t>
      </w:r>
    </w:p>
    <w:p>
      <w:pPr>
        <w:spacing w:line="360" w:lineRule="auto" w:after="20"/>
        <w:ind w:firstLine="283"/>
      </w:pPr>
      <w:r>
        <w:t>D. 依靠来自同行和工作小组的信息及见解</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区分地平线扫描中持续监测、同业协作与日常监管询问</w:t>
      </w:r>
    </w:p>
    <w:p>
      <w:pPr>
        <w:spacing w:before="120" w:after="40"/>
      </w:pPr>
      <w:r>
        <w:rPr>
          <w:b/>
          <w:sz w:val="21"/>
          <w:shd w:fill="D6E4F0" w:val="clear"/>
        </w:rPr>
        <w:t>核心解析</w:t>
      </w:r>
    </w:p>
    <w:p>
      <w:pPr>
        <w:spacing w:line="360" w:lineRule="auto" w:after="40"/>
        <w:ind w:firstLine="420"/>
      </w:pPr>
      <w:r>
        <w:t>确保持续合规的结构化方法包括持续监管监测、主动与监管机构及其他利益相关方互动，以及战略性技术运用</w:t>
      </w:r>
      <w:r>
        <w:rPr>
          <w:sz w:val="15"/>
          <w:vertAlign w:val="superscript"/>
        </w:rPr>
        <w:t>P388</w:t>
      </w:r>
      <w:r>
        <w:t>。通过行业协会、金融犯罪防控论坛和监管工作组协作，有助于了解新兴趋势和最佳实践</w:t>
      </w:r>
      <w:r>
        <w:rPr>
          <w:sz w:val="15"/>
          <w:vertAlign w:val="superscript"/>
        </w:rPr>
        <w:t>P389</w:t>
      </w:r>
      <w:r>
        <w:t>。订阅监管机构通讯简报属于持续监管监测，依靠同行和工作小组信息属于行业协作，两者直接对应教材描述的地平线扫描高效方法。相比之下，定期联系监管机构询问最新情况虽看似主动互动，但教材中该做法主要用于针对AI等技术设定期望和展示可解释性</w:t>
      </w:r>
      <w:r>
        <w:rPr>
          <w:sz w:val="15"/>
          <w:vertAlign w:val="superscript"/>
        </w:rPr>
        <w:t>P387</w:t>
      </w:r>
      <w:r>
        <w:t>，并非地平线扫描中获取广泛监管动态的推荐手段，其效率和系统性不如前两项。</w:t>
      </w:r>
    </w:p>
    <w:p>
      <w:pPr>
        <w:spacing w:before="120" w:after="40"/>
      </w:pPr>
      <w:r>
        <w:rPr>
          <w:b/>
          <w:sz w:val="21"/>
          <w:shd w:fill="D6E4F0" w:val="clear"/>
        </w:rPr>
        <w:t>教材原句</w:t>
      </w:r>
    </w:p>
    <w:p>
      <w:pPr>
        <w:spacing w:line="360" w:lineRule="auto" w:after="40"/>
        <w:ind w:firstLine="420"/>
      </w:pPr>
      <w:r>
        <w:t>"A structured approach to ensuring ongoing compliance includes continuous regulatory monitoring, proactive engagement with regulators and other stakeholders, and the strategic use of technology."</w:t>
      </w:r>
    </w:p>
    <w:p>
      <w:pPr>
        <w:spacing w:before="120" w:after="40"/>
      </w:pPr>
      <w:r>
        <w:rPr>
          <w:b/>
          <w:sz w:val="21"/>
          <w:shd w:fill="D6E4F0" w:val="clear"/>
        </w:rPr>
        <w:t>B项错误</w:t>
      </w:r>
    </w:p>
    <w:p>
      <w:pPr>
        <w:spacing w:line="360" w:lineRule="auto" w:after="40"/>
        <w:ind w:firstLine="420"/>
      </w:pPr>
      <w:r>
        <w:t>教材未出现专门监管地平线扫描服务提供商的描述，缺乏将其列为有效方法的依据。若题干提及外包或第三方技术供应商，或许可关联，但此处无从支撑。</w:t>
      </w:r>
    </w:p>
    <w:p>
      <w:pPr>
        <w:spacing w:before="120" w:after="40"/>
      </w:pPr>
      <w:r>
        <w:rPr>
          <w:b/>
          <w:sz w:val="21"/>
          <w:shd w:fill="D6E4F0" w:val="clear"/>
        </w:rPr>
        <w:t>C项错误</w:t>
      </w:r>
    </w:p>
    <w:p>
      <w:pPr>
        <w:spacing w:line="360" w:lineRule="auto" w:after="40"/>
        <w:ind w:firstLine="420"/>
      </w:pPr>
      <w:r>
        <w:t>教材确有与监管机构尽早经常沟通的建议，但该情境聚焦于AI等新技术的期望设定和可解释性要求</w:t>
      </w:r>
      <w:r>
        <w:rPr>
          <w:sz w:val="15"/>
          <w:vertAlign w:val="superscript"/>
        </w:rPr>
        <w:t>P387</w:t>
      </w:r>
      <w:r>
        <w:t>，并非持续监测监管动态的地平线扫描手段。相比选项A的订阅简报和选项D的同行协作，它更偏向点对点技术咨询，信息获取的广度和常态化程度不如前两者。</w:t>
      </w:r>
    </w:p>
    <w:p>
      <w:pPr>
        <w:spacing w:before="120" w:after="40"/>
      </w:pPr>
      <w:r>
        <w:rPr>
          <w:b/>
          <w:sz w:val="21"/>
          <w:shd w:fill="D6E4F0" w:val="clear"/>
        </w:rPr>
        <w:t>易错提醒</w:t>
      </w:r>
    </w:p>
    <w:p>
      <w:pPr>
        <w:spacing w:line="360" w:lineRule="auto" w:after="40"/>
        <w:ind w:firstLine="420"/>
      </w:pPr>
      <w:r>
        <w:t>教材P388的“主动与监管机构互动”通常针对具体合规技术（如AI）的期望对齐，而非地平线扫描的日常信息收集。地平线扫描最有效的方法侧重于持续监测公开的监管信息（如简报）和同业网络分享，而非依赖直接向监管机构频繁询问。</w:t>
      </w:r>
    </w:p>
    <w:p>
      <w:pPr>
        <w:spacing w:line="360" w:lineRule="auto" w:after="120"/>
      </w:pPr>
      <w:r/>
    </w:p>
    <w:p>
      <w:pPr>
        <w:spacing w:line="360" w:lineRule="auto" w:after="40"/>
      </w:pPr>
      <w:r>
        <w:t>7. 在为组织选择反金融犯罪(AFC)工具时，应优先考虑哪些因素？(选择两项。) ( )</w:t>
      </w:r>
    </w:p>
    <w:p>
      <w:pPr>
        <w:spacing w:line="360" w:lineRule="auto" w:after="20"/>
        <w:ind w:firstLine="283"/>
      </w:pPr>
      <w:r>
        <w:t>A. 实时数据分析能力作为更广泛战略的一部分</w:t>
      </w:r>
    </w:p>
    <w:p>
      <w:pPr>
        <w:spacing w:line="360" w:lineRule="auto" w:after="20"/>
        <w:ind w:firstLine="283"/>
      </w:pPr>
      <w:r>
        <w:t>B. 倾向于选择成本最低的方案</w:t>
      </w:r>
    </w:p>
    <w:p>
      <w:pPr>
        <w:spacing w:line="360" w:lineRule="auto" w:after="20"/>
        <w:ind w:firstLine="283"/>
      </w:pPr>
      <w:r>
        <w:t>C. 完全消除人工流程</w:t>
      </w:r>
    </w:p>
    <w:p>
      <w:pPr>
        <w:spacing w:line="360" w:lineRule="auto" w:after="20"/>
        <w:ind w:firstLine="283"/>
      </w:pPr>
      <w:r>
        <w:t>D. 与现有IT基础设施的兼容性</w:t>
      </w:r>
    </w:p>
    <w:p>
      <w:pPr>
        <w:spacing w:line="360" w:lineRule="auto" w:after="20"/>
        <w:ind w:firstLine="283"/>
      </w:pPr>
      <w:r>
        <w:t>E. 处理不断增长的交易量的可扩展性</w:t>
      </w:r>
    </w:p>
    <w:p>
      <w:pPr>
        <w:spacing w:line="360" w:lineRule="auto" w:after="40"/>
      </w:pPr>
      <w:r>
        <w:t>答案:D、E</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区分AFC技术评估中的四项核心考量：可扩展性、集成、灵活架构与协作</w:t>
      </w:r>
    </w:p>
    <w:p>
      <w:pPr>
        <w:spacing w:before="120" w:after="40"/>
      </w:pPr>
      <w:r>
        <w:rPr>
          <w:b/>
          <w:sz w:val="21"/>
          <w:shd w:fill="D6E4F0" w:val="clear"/>
        </w:rPr>
        <w:t>核心解析</w:t>
      </w:r>
    </w:p>
    <w:p>
      <w:pPr>
        <w:spacing w:line="360" w:lineRule="auto" w:after="40"/>
        <w:ind w:firstLine="420"/>
      </w:pPr>
      <w:r>
        <w:t>教材在P389明确指出评估新金融犯罪防控技术时有四项关键考量：可扩展性（scalability）、灵活架构（flexible architecture）、集成（integration）与协作（collaboration）。其中，可扩展性要求方案能适应有机增长、并购及新产品服务</w:t>
      </w:r>
      <w:r>
        <w:rPr>
          <w:sz w:val="15"/>
          <w:vertAlign w:val="superscript"/>
        </w:rPr>
        <w:t>P389</w:t>
      </w:r>
      <w:r>
        <w:t>；集成方面，P378进一步强调需确保与现有系统兼容（Integration with existing systems: Ensure compatibility with legacy technology and core banking systems）。选项D“与现有IT基础设施的兼容性”直接对应集成这一优先考量，选项E“处理不断增长的交易量的可扩展性”直接对应可扩展性这一优先考量，两者均属于教材界定的核心优先因素。</w:t>
      </w:r>
    </w:p>
    <w:p>
      <w:pPr>
        <w:spacing w:before="120" w:after="40"/>
      </w:pPr>
      <w:r>
        <w:rPr>
          <w:b/>
          <w:sz w:val="21"/>
          <w:shd w:fill="D6E4F0" w:val="clear"/>
        </w:rPr>
        <w:t>教材原句</w:t>
      </w:r>
    </w:p>
    <w:p>
      <w:pPr>
        <w:spacing w:line="360" w:lineRule="auto" w:after="40"/>
        <w:ind w:firstLine="420"/>
      </w:pPr>
      <w:r>
        <w:t>"There are four key considerations for evaluating new AFC technology: scalability, flexible architecture, integration, and collaboration."</w:t>
      </w:r>
    </w:p>
    <w:p>
      <w:pPr>
        <w:spacing w:before="120" w:after="40"/>
      </w:pPr>
      <w:r>
        <w:rPr>
          <w:b/>
          <w:sz w:val="21"/>
          <w:shd w:fill="D6E4F0" w:val="clear"/>
        </w:rPr>
        <w:t>A项错误</w:t>
      </w:r>
    </w:p>
    <w:p>
      <w:pPr>
        <w:spacing w:line="360" w:lineRule="auto" w:after="40"/>
        <w:ind w:firstLine="420"/>
      </w:pPr>
      <w:r>
        <w:t>实时数据分析能力是AFC工具的有用功能，但教材在界定评估新技术的最优先因素时，并未将其单独列出</w:t>
      </w:r>
      <w:r>
        <w:rPr>
          <w:sz w:val="15"/>
          <w:vertAlign w:val="superscript"/>
        </w:rPr>
        <w:t>P389</w:t>
      </w:r>
      <w:r>
        <w:t>。相比之下，题干更直接匹配教材强调的系统级基础特性——可扩展性与集成，而非某一具体分析功能。</w:t>
      </w:r>
    </w:p>
    <w:p>
      <w:pPr>
        <w:spacing w:before="120" w:after="40"/>
      </w:pPr>
      <w:r>
        <w:rPr>
          <w:b/>
          <w:sz w:val="21"/>
          <w:shd w:fill="D6E4F0" w:val="clear"/>
        </w:rPr>
        <w:t>B项错误</w:t>
      </w:r>
    </w:p>
    <w:p>
      <w:pPr>
        <w:spacing w:line="360" w:lineRule="auto" w:after="40"/>
        <w:ind w:firstLine="420"/>
      </w:pPr>
      <w:r>
        <w:t>教材强调在花费与有效性之间取得平衡</w:t>
      </w:r>
      <w:r>
        <w:rPr>
          <w:sz w:val="15"/>
          <w:vertAlign w:val="superscript"/>
        </w:rPr>
        <w:t>P383</w:t>
      </w:r>
      <w:r>
        <w:t>，而非单纯追求最低成本。成本考量属于总拥有成本评估的一部分</w:t>
      </w:r>
      <w:r>
        <w:rPr>
          <w:sz w:val="15"/>
          <w:vertAlign w:val="superscript"/>
        </w:rPr>
        <w:t>P378</w:t>
      </w:r>
      <w:r>
        <w:t>，但并非最优先的筛选维度，可扩展性和集成在教材的优先清单中位置更靠前。</w:t>
      </w:r>
    </w:p>
    <w:p>
      <w:pPr>
        <w:spacing w:before="120" w:after="40"/>
      </w:pPr>
      <w:r>
        <w:rPr>
          <w:b/>
          <w:sz w:val="21"/>
          <w:shd w:fill="D6E4F0" w:val="clear"/>
        </w:rPr>
        <w:t>C项错误</w:t>
      </w:r>
    </w:p>
    <w:p>
      <w:pPr>
        <w:spacing w:line="360" w:lineRule="auto" w:after="40"/>
        <w:ind w:firstLine="420"/>
      </w:pPr>
      <w:r>
        <w:t>教材指出当前AI技术不太可能完全消除人工监督</w:t>
      </w:r>
      <w:r>
        <w:rPr>
          <w:sz w:val="15"/>
          <w:vertAlign w:val="superscript"/>
        </w:rPr>
        <w:t>P387</w:t>
      </w:r>
      <w:r>
        <w:t>。题干要求的“优先考虑”因素应落在可扩展性、集成等已被教材明确列为关键考量的领域，完全消除人工流程不如这些基础架构特性更具优先级。</w:t>
      </w:r>
    </w:p>
    <w:p>
      <w:pPr>
        <w:spacing w:before="120" w:after="40"/>
      </w:pPr>
      <w:r>
        <w:rPr>
          <w:b/>
          <w:sz w:val="21"/>
          <w:shd w:fill="D6E4F0" w:val="clear"/>
        </w:rPr>
        <w:t>易错提醒</w:t>
      </w:r>
    </w:p>
    <w:p>
      <w:pPr>
        <w:spacing w:line="360" w:lineRule="auto" w:after="40"/>
        <w:ind w:firstLine="420"/>
      </w:pPr>
      <w:r>
        <w:t>容易将“实时数据分析”误判为优先因素。教材的四项关键考量聚焦于系统级特性（可扩展、集成、灵活架构、协作），而非特定的分析功能。选择AFC工具时，兼容性与可扩展性比单一功能更基础、更优先。</w:t>
      </w:r>
    </w:p>
    <w:p>
      <w:pPr>
        <w:spacing w:line="360" w:lineRule="auto" w:after="120"/>
      </w:pPr>
      <w:r/>
    </w:p>
    <w:p>
      <w:pPr>
        <w:spacing w:line="360" w:lineRule="auto" w:after="40"/>
      </w:pPr>
      <w:r>
        <w:t>8. 在机器学习/深度学习交易监控的背景下，应考虑哪些关键绩效指标(KPI)？(选择三项。) ( )</w:t>
      </w:r>
    </w:p>
    <w:p>
      <w:pPr>
        <w:spacing w:line="360" w:lineRule="auto" w:after="20"/>
        <w:ind w:firstLine="283"/>
      </w:pPr>
      <w:r>
        <w:t>A. 招聘新员工所需天数</w:t>
      </w:r>
    </w:p>
    <w:p>
      <w:pPr>
        <w:spacing w:line="360" w:lineRule="auto" w:after="20"/>
        <w:ind w:firstLine="283"/>
      </w:pPr>
      <w:r>
        <w:t>B. 提出审查或报告的警报数量</w:t>
      </w:r>
    </w:p>
    <w:p>
      <w:pPr>
        <w:spacing w:line="360" w:lineRule="auto" w:after="20"/>
        <w:ind w:firstLine="283"/>
      </w:pPr>
      <w:r>
        <w:t>C. 各地区警报数量</w:t>
      </w:r>
    </w:p>
    <w:p>
      <w:pPr>
        <w:spacing w:line="360" w:lineRule="auto" w:after="20"/>
        <w:ind w:firstLine="283"/>
      </w:pPr>
      <w:r>
        <w:t>D. 顶级客户的交易数量</w:t>
      </w:r>
    </w:p>
    <w:p>
      <w:pPr>
        <w:spacing w:line="360" w:lineRule="auto" w:after="20"/>
        <w:ind w:firstLine="283"/>
      </w:pPr>
      <w:r>
        <w:t>E. 平均警报审查时间</w:t>
      </w:r>
    </w:p>
    <w:p>
      <w:pPr>
        <w:spacing w:line="360" w:lineRule="auto" w:after="40"/>
      </w:pPr>
      <w:r>
        <w:t>答案:B、C、E</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区分金融犯罪防控KPI与一般业务或人力资源指标</w:t>
      </w:r>
    </w:p>
    <w:p>
      <w:pPr>
        <w:spacing w:before="120" w:after="40"/>
      </w:pPr>
      <w:r>
        <w:rPr>
          <w:b/>
          <w:sz w:val="21"/>
          <w:shd w:fill="D6E4F0" w:val="clear"/>
        </w:rPr>
        <w:t>核心解析</w:t>
      </w:r>
    </w:p>
    <w:p>
      <w:pPr>
        <w:spacing w:line="360" w:lineRule="auto" w:after="40"/>
        <w:ind w:firstLine="420"/>
      </w:pPr>
      <w:r>
        <w:t>关键绩效指标（KPI）用于衡量金融犯罪防控（AFC）控制的效率与效果</w:t>
      </w:r>
      <w:r>
        <w:rPr>
          <w:sz w:val="15"/>
          <w:vertAlign w:val="superscript"/>
        </w:rPr>
        <w:t>P387</w:t>
      </w:r>
      <w:r>
        <w:t>，典型的KPI包括警报审查时效、误报率以及可疑活动报告提交时限等</w:t>
      </w:r>
      <w:r>
        <w:rPr>
          <w:sz w:val="15"/>
          <w:vertAlign w:val="superscript"/>
        </w:rPr>
        <w:t>P296</w:t>
      </w:r>
      <w:r>
        <w:t>。在机器学习／深度学习交易监控场景下，评估这类系统不仅要看其发现可疑行为的能力，还必须衡量其产生的运营负荷与处理效率。提出审查或报告的警报数量（对应选项B）是交易监控校准的核心指标</w:t>
      </w:r>
      <w:r>
        <w:rPr>
          <w:sz w:val="15"/>
          <w:vertAlign w:val="superscript"/>
        </w:rPr>
        <w:t>P446</w:t>
      </w:r>
      <w:r>
        <w:t>，直接反映系统对可疑活动的捕获能力；各地区警报数量（对应选项C）通过地理维度揭示风险分布与监控覆盖，可评估系统在不同区域的执行一致性；平均警报审查时间（对应选项E）本身就是P296明确列举的KPI量度，直接体现合规团队的调查效率。三者共同构成对监控系统有效性和运行效率的整体评估，因此是应选取的KPI。</w:t>
      </w:r>
    </w:p>
    <w:p>
      <w:pPr>
        <w:spacing w:before="120" w:after="40"/>
      </w:pPr>
      <w:r>
        <w:rPr>
          <w:b/>
          <w:sz w:val="21"/>
          <w:shd w:fill="D6E4F0" w:val="clear"/>
        </w:rPr>
        <w:t>教材原句</w:t>
      </w:r>
    </w:p>
    <w:p>
      <w:pPr>
        <w:spacing w:line="360" w:lineRule="auto" w:after="40"/>
        <w:ind w:firstLine="420"/>
      </w:pPr>
      <w:r>
        <w:t>"Ongoing reporting includes key risk indicators to identify potential vulnerabilities and key performance indicators to measure efficiency and effectiveness in detecting and preventing financial crime."</w:t>
      </w:r>
    </w:p>
    <w:p>
      <w:pPr>
        <w:spacing w:before="120" w:after="40"/>
      </w:pPr>
      <w:r>
        <w:rPr>
          <w:b/>
          <w:sz w:val="21"/>
          <w:shd w:fill="D6E4F0" w:val="clear"/>
        </w:rPr>
        <w:t>A项错误</w:t>
      </w:r>
    </w:p>
    <w:p>
      <w:pPr>
        <w:spacing w:line="360" w:lineRule="auto" w:after="40"/>
        <w:ind w:firstLine="420"/>
      </w:pPr>
      <w:r>
        <w:t>招聘新员工所需天数属于人力资源流程效率指标，教材在讨论AFC内部报告或KPI时均未将其纳入金融犯罪防控有效性的量度</w:t>
      </w:r>
      <w:r>
        <w:rPr>
          <w:sz w:val="15"/>
          <w:vertAlign w:val="superscript"/>
        </w:rPr>
        <w:t>P296、P387</w:t>
      </w:r>
      <w:r>
        <w:t>，与题干要求的监控系统KPI属性不匹配。</w:t>
      </w:r>
    </w:p>
    <w:p>
      <w:pPr>
        <w:spacing w:before="120" w:after="40"/>
      </w:pPr>
      <w:r>
        <w:rPr>
          <w:b/>
          <w:sz w:val="21"/>
          <w:shd w:fill="D6E4F0" w:val="clear"/>
        </w:rPr>
        <w:t>D项错误</w:t>
      </w:r>
    </w:p>
    <w:p>
      <w:pPr>
        <w:spacing w:line="360" w:lineRule="auto" w:after="40"/>
        <w:ind w:firstLine="420"/>
      </w:pPr>
      <w:r>
        <w:t>顶级客户的交易数量可反映特定客群的业务规模和风险敞口，但教材将KPI界定为对AFC控制本身的效率与效果的衡量</w:t>
      </w:r>
      <w:r>
        <w:rPr>
          <w:sz w:val="15"/>
          <w:vertAlign w:val="superscript"/>
        </w:rPr>
        <w:t>P387</w:t>
      </w:r>
      <w:r>
        <w:t>，而非对客户交易行为的统计描述，因此它不如B、C、E那样直接吻合教材对AFC的KPI的定义。</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