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CH15</w:t>
      </w:r>
    </w:p>
    <w:p>
      <w:pPr>
        <w:spacing w:line="360" w:lineRule="auto" w:after="160"/>
      </w:pPr>
      <w:r>
        <w:t>一、单项选择题</w:t>
      </w:r>
    </w:p>
    <w:p>
      <w:pPr>
        <w:spacing w:line="360" w:lineRule="auto" w:after="40"/>
      </w:pPr>
      <w:r>
        <w:t>1. 一家银行正在为一家总部位于纽约市的小型数字营销公司完成定期的客户尽职调查档案审查.以下哪一项会是一个危险信号？ ( )</w:t>
      </w:r>
    </w:p>
    <w:p>
      <w:pPr>
        <w:spacing w:line="360" w:lineRule="auto" w:after="20"/>
        <w:ind w:firstLine="283"/>
      </w:pPr>
      <w:r>
        <w:t>A. 账户活动包括向储蓄账户和支票账户的存款活动</w:t>
      </w:r>
    </w:p>
    <w:p>
      <w:pPr>
        <w:spacing w:line="360" w:lineRule="auto" w:after="20"/>
        <w:ind w:firstLine="283"/>
      </w:pPr>
      <w:r>
        <w:t>B. 该账户的活动包括来自纽约地区小企业的不定期资金转入.</w:t>
      </w:r>
    </w:p>
    <w:p>
      <w:pPr>
        <w:spacing w:line="360" w:lineRule="auto" w:after="20"/>
        <w:ind w:firstLine="283"/>
      </w:pPr>
      <w:r>
        <w:t>C. 该账户的活动包括在纽约市多个分行向同一账户存入款项.</w:t>
      </w:r>
    </w:p>
    <w:p>
      <w:pPr>
        <w:spacing w:line="360" w:lineRule="auto" w:after="20"/>
        <w:ind w:firstLine="283"/>
      </w:pPr>
      <w:r>
        <w:t>D. 该账户的活动包括频繁购买行业会议及其他活动的门票.</w:t>
      </w:r>
    </w:p>
    <w:p>
      <w:pPr>
        <w:spacing w:line="360" w:lineRule="auto" w:after="40"/>
      </w:pPr>
      <w:r>
        <w:t>答案:C</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识别与客户业务画像不符的交易模式</w:t>
      </w:r>
    </w:p>
    <w:p>
      <w:pPr>
        <w:spacing w:before="120" w:after="40"/>
      </w:pPr>
      <w:r>
        <w:rPr>
          <w:b/>
          <w:sz w:val="21"/>
          <w:shd w:fill="D6E4F0" w:val="clear"/>
        </w:rPr>
        <w:t>核心解析</w:t>
      </w:r>
    </w:p>
    <w:p>
      <w:pPr>
        <w:spacing w:line="360" w:lineRule="auto" w:after="40"/>
        <w:ind w:firstLine="420"/>
      </w:pPr>
      <w:r>
        <w:t>交易监控中，与客户业务画像不符的交易是潜在金融犯罪的风险指标</w:t>
      </w:r>
      <w:r>
        <w:rPr>
          <w:sz w:val="15"/>
          <w:vertAlign w:val="superscript"/>
        </w:rPr>
        <w:t>P443</w:t>
      </w:r>
      <w:r>
        <w:t>。题干中小型数字营销公司的业务通常以线上方式运作，不会频繁在多个实体分行进行存款。选项C描述的“在纽约市多个分行向同一账户存入款项”与该公司预期业务模式明显不匹配，因此构成危险信号。</w:t>
      </w:r>
    </w:p>
    <w:p>
      <w:pPr>
        <w:spacing w:before="120" w:after="40"/>
      </w:pPr>
      <w:r>
        <w:rPr>
          <w:b/>
          <w:sz w:val="21"/>
          <w:shd w:fill="D6E4F0" w:val="clear"/>
        </w:rPr>
        <w:t>A项错误</w:t>
      </w:r>
    </w:p>
    <w:p>
      <w:pPr>
        <w:spacing w:line="360" w:lineRule="auto" w:after="40"/>
        <w:ind w:firstLine="420"/>
      </w:pPr>
      <w:r>
        <w:t>教材指出“与客户业务画像不符的交易、不明资金转移或休眠账户突然活动可能表明金融犯罪。”、“CDD需收集业务性质和行业分类信息。”、“客户尽职调查（客户尽职调查）评估客户风险等级、财务行为和预期交易”。题干中“一家银行正在为一家总部位于纽约市的小型数字营销公司完成定期的客户尽职调查档案审查.以下哪一项会是一个危险信号？”与“账户活动包括向储蓄账户和支票账户的存款活动”不一致。</w:t>
      </w:r>
    </w:p>
    <w:p>
      <w:pPr>
        <w:spacing w:before="120" w:after="40"/>
      </w:pPr>
      <w:r>
        <w:rPr>
          <w:b/>
          <w:sz w:val="21"/>
          <w:shd w:fill="D6E4F0" w:val="clear"/>
        </w:rPr>
        <w:t>B项错误</w:t>
      </w:r>
    </w:p>
    <w:p>
      <w:pPr>
        <w:spacing w:line="360" w:lineRule="auto" w:after="40"/>
        <w:ind w:firstLine="420"/>
      </w:pPr>
      <w:r>
        <w:t>来自纽约本地小企业的不定期转入款项，对于为本地小企业提供数字营销服务的公司而言，仍可能属于与其业务画像一致的收款活动。相比之下，正确项C展示的跨分行存款行为更显著偏离了此类公司的预期交易模式。</w:t>
      </w:r>
    </w:p>
    <w:p>
      <w:pPr>
        <w:spacing w:before="120" w:after="40"/>
      </w:pPr>
      <w:r>
        <w:rPr>
          <w:b/>
          <w:sz w:val="21"/>
          <w:shd w:fill="D6E4F0" w:val="clear"/>
        </w:rPr>
        <w:t>D项错误</w:t>
      </w:r>
    </w:p>
    <w:p>
      <w:pPr>
        <w:spacing w:line="360" w:lineRule="auto" w:after="40"/>
        <w:ind w:firstLine="420"/>
      </w:pPr>
      <w:r>
        <w:t>教材指出“与客户业务画像不符的交易、不明资金转移或休眠账户突然活动可能表明金融犯罪。”、“CDD需收集业务性质和行业分类信息。”、“客户尽职调查（客户尽职调查）评估客户风险等级、财务行为和预期交易”。题干中“一家银行正在为一家总部位于纽约市的小型数字营销公司完成定期的客户尽职调查档案审查.以下哪一项会是一个危险信号？”与“该账户的活动包括频繁购买行业会议及其他活动的门票.”不一致。</w:t>
      </w:r>
    </w:p>
    <w:p>
      <w:pPr>
        <w:spacing w:before="120" w:after="40"/>
      </w:pPr>
      <w:r>
        <w:rPr>
          <w:b/>
          <w:sz w:val="21"/>
          <w:shd w:fill="D6E4F0" w:val="clear"/>
        </w:rPr>
        <w:t>易错提醒</w:t>
      </w:r>
    </w:p>
    <w:p>
      <w:pPr>
        <w:spacing w:line="360" w:lineRule="auto" w:after="40"/>
        <w:ind w:firstLine="420"/>
      </w:pPr>
      <w:r>
        <w:t>不定期转账本身并非危险信号，关键在于交易是否与客户业务画像和预期活动一致。教材强调，风险评估后定义的监控场景应聚焦于与客户业务类型、交易行为和风险水平不匹配的活动（P443-P444）。</w:t>
      </w:r>
    </w:p>
    <w:p>
      <w:pPr>
        <w:spacing w:line="360" w:lineRule="auto" w:after="120"/>
      </w:pPr>
      <w:r/>
    </w:p>
    <w:p>
      <w:pPr>
        <w:spacing w:line="360" w:lineRule="auto" w:after="40"/>
      </w:pPr>
      <w:r>
        <w:t>2. 哪种情形表明律师可能存在洗钱活动？ ( )</w:t>
      </w:r>
    </w:p>
    <w:p>
      <w:pPr>
        <w:spacing w:line="360" w:lineRule="auto" w:after="20"/>
        <w:ind w:firstLine="283"/>
      </w:pPr>
      <w:r>
        <w:t>A. 一位身处高风险国家的律师将其律师事务所从信托账户开出的银行汇票存入位于低风险国家的另一位律师的信托账户，以支付所提供的法律服务费用。</w:t>
      </w:r>
    </w:p>
    <w:p>
      <w:pPr>
        <w:spacing w:line="360" w:lineRule="auto" w:after="20"/>
        <w:ind w:firstLine="283"/>
      </w:pPr>
      <w:r>
        <w:t>B. 一名律师的信托账户经常收到来自高风险国家的不明汇款人的电汇，并立即将收到的相同金额资金转至低风险国家的一名已知受益人的账户。</w:t>
      </w:r>
    </w:p>
    <w:p>
      <w:pPr>
        <w:spacing w:line="360" w:lineRule="auto" w:after="20"/>
        <w:ind w:firstLine="283"/>
      </w:pPr>
      <w:r>
        <w:t>C. 一名律师的信托账户收到一家受监管保险公司的大额电汇，并立即将收到的相同金额资金转至位于低风险国家的受益人银行账户。</w:t>
      </w:r>
    </w:p>
    <w:p>
      <w:pPr>
        <w:spacing w:line="360" w:lineRule="auto" w:after="20"/>
        <w:ind w:firstLine="283"/>
      </w:pPr>
      <w:r>
        <w:t>D. 一位律师的信托账户收到一位想购买房产的客户的大额电汇存款，随后该律师将相同金额转至房产出售方律师的信托账户。</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识别不明汇款人频繁电汇通过信托账户转移资金的洗钱模式</w:t>
      </w:r>
    </w:p>
    <w:p>
      <w:pPr>
        <w:spacing w:before="120" w:after="40"/>
      </w:pPr>
      <w:r>
        <w:rPr>
          <w:b/>
          <w:sz w:val="21"/>
          <w:shd w:fill="D6E4F0" w:val="clear"/>
        </w:rPr>
        <w:t>核心解析</w:t>
      </w:r>
    </w:p>
    <w:p>
      <w:pPr>
        <w:spacing w:line="360" w:lineRule="auto" w:after="40"/>
        <w:ind w:firstLine="420"/>
      </w:pPr>
      <w:r>
        <w:t>不明资金转移可能表明金融犯罪</w:t>
      </w:r>
      <w:r>
        <w:rPr>
          <w:sz w:val="15"/>
          <w:vertAlign w:val="superscript"/>
        </w:rPr>
        <w:t>P443</w:t>
      </w:r>
      <w:r>
        <w:t>。律师因管理金融交易面临显著洗钱风险</w:t>
      </w:r>
      <w:r>
        <w:rPr>
          <w:sz w:val="15"/>
          <w:vertAlign w:val="superscript"/>
        </w:rPr>
        <w:t>P125</w:t>
      </w:r>
      <w:r>
        <w:t>。选项B中，律师信托账户经常收到来自高风险国家的不明汇款人的电汇，并立即将同等金额转至低风险国家一名已知受益人，体现了不明来源资金的快速转移与隐匿意图，直接吻合上述洗钱风险指标。相比之下，其他选项均有明确的合法交易目的，缺乏不明来源这一关键可疑要素。</w:t>
      </w:r>
    </w:p>
    <w:p>
      <w:pPr>
        <w:spacing w:before="120" w:after="40"/>
      </w:pPr>
      <w:r>
        <w:rPr>
          <w:b/>
          <w:sz w:val="21"/>
          <w:shd w:fill="D6E4F0" w:val="clear"/>
        </w:rPr>
        <w:t>教材原句</w:t>
      </w:r>
    </w:p>
    <w:p>
      <w:pPr>
        <w:spacing w:line="360" w:lineRule="auto" w:after="40"/>
        <w:ind w:firstLine="420"/>
      </w:pPr>
      <w:r>
        <w:t>"unexplained fund transfers, or sudden activity in dormant accounts might also indicate potential financial crime."</w:t>
      </w:r>
    </w:p>
    <w:p>
      <w:pPr>
        <w:spacing w:before="120" w:after="40"/>
      </w:pPr>
      <w:r>
        <w:rPr>
          <w:b/>
          <w:sz w:val="21"/>
          <w:shd w:fill="D6E4F0" w:val="clear"/>
        </w:rPr>
        <w:t>A项错误</w:t>
      </w:r>
    </w:p>
    <w:p>
      <w:pPr>
        <w:spacing w:line="360" w:lineRule="auto" w:after="40"/>
        <w:ind w:firstLine="420"/>
      </w:pPr>
      <w:r>
        <w:t>该交易以银行汇票支付已提供的法律服务费用，有明确的合法商业目的和可追溯的付款路径。在教材框架下，存在正当理由的资金转移不如选项B中“不明汇款人”的转移直接匹配洗钱风险指标。</w:t>
      </w:r>
    </w:p>
    <w:p>
      <w:pPr>
        <w:spacing w:before="120" w:after="40"/>
      </w:pPr>
      <w:r>
        <w:rPr>
          <w:b/>
          <w:sz w:val="21"/>
          <w:shd w:fill="D6E4F0" w:val="clear"/>
        </w:rPr>
        <w:t>C项错误</w:t>
      </w:r>
    </w:p>
    <w:p>
      <w:pPr>
        <w:spacing w:line="360" w:lineRule="auto" w:after="40"/>
        <w:ind w:firstLine="420"/>
      </w:pPr>
      <w:r>
        <w:t>汇款方为受监管保险公司，其资金来源受到严格审查，合法性较高。该交易可被合理解释为保险相关资金划转，不如选项B中来源不明的汇款那样难以追溯和可疑。</w:t>
      </w:r>
    </w:p>
    <w:p>
      <w:pPr>
        <w:spacing w:before="120" w:after="40"/>
      </w:pPr>
      <w:r>
        <w:rPr>
          <w:b/>
          <w:sz w:val="21"/>
          <w:shd w:fill="D6E4F0" w:val="clear"/>
        </w:rPr>
        <w:t>D项错误</w:t>
      </w:r>
    </w:p>
    <w:p>
      <w:pPr>
        <w:spacing w:line="360" w:lineRule="auto" w:after="40"/>
        <w:ind w:firstLine="420"/>
      </w:pPr>
      <w:r>
        <w:t>该场景属于常见的房地产交易资金托管转付，客户为购房而付款，律师代转至卖方律师账户，有明确的交易背景与最终用途。这种符合行业惯例的流转，缺乏洗钱所常伴的资金来源不明或目的不明等要素，因此不如选项B可疑。</w:t>
      </w:r>
    </w:p>
    <w:p>
      <w:pPr>
        <w:spacing w:before="120" w:after="40"/>
      </w:pPr>
      <w:r>
        <w:rPr>
          <w:b/>
          <w:sz w:val="21"/>
          <w:shd w:fill="D6E4F0" w:val="clear"/>
        </w:rPr>
        <w:t>易错提醒</w:t>
      </w:r>
    </w:p>
    <w:p>
      <w:pPr>
        <w:spacing w:line="360" w:lineRule="auto" w:after="40"/>
        <w:ind w:firstLine="420"/>
      </w:pPr>
      <w:r>
        <w:t>合法交易（如房地产过户、支付服务费）与洗钱行为的核心区分在于资金来源是否可解释、资金流转路径能否得到商业逻辑支持。当“不明汇款人”“高风险国家”“立即等额转出”等高风险要素组合出现时，即使通过信托账户，也强烈暗示洗钱。</w:t>
      </w:r>
    </w:p>
    <w:p>
      <w:pPr>
        <w:spacing w:line="360" w:lineRule="auto" w:after="120"/>
      </w:pPr>
      <w:r/>
    </w:p>
    <w:p>
      <w:pPr>
        <w:spacing w:line="360" w:lineRule="auto" w:after="40"/>
      </w:pPr>
      <w:r>
        <w:t>3. 一家银行使用网络分析工具来识别客户与犯罪实体之间的联系。该系统能够识别潜在的间接关系，但无法对这些关系进行优先级排序。合规官应采取什么措施来提高该工具的有效性？ ( )</w:t>
      </w:r>
    </w:p>
    <w:p>
      <w:pPr>
        <w:spacing w:line="360" w:lineRule="auto" w:after="20"/>
        <w:ind w:firstLine="283"/>
      </w:pPr>
      <w:r>
        <w:t>A. 手动审查所有被标记的关系以确保准确无误</w:t>
      </w:r>
    </w:p>
    <w:p>
      <w:pPr>
        <w:spacing w:line="360" w:lineRule="auto" w:after="20"/>
        <w:ind w:firstLine="283"/>
      </w:pPr>
      <w:r>
        <w:t>B. 对间接关联实施风险评分算法</w:t>
      </w:r>
    </w:p>
    <w:p>
      <w:pPr>
        <w:spacing w:line="360" w:lineRule="auto" w:after="20"/>
        <w:ind w:firstLine="283"/>
      </w:pPr>
      <w:r>
        <w:t>C. 整合外部数据库和社交媒体资料，以交叉核对被标记的实体</w:t>
      </w:r>
    </w:p>
    <w:p>
      <w:pPr>
        <w:spacing w:line="360" w:lineRule="auto" w:after="20"/>
        <w:ind w:firstLine="283"/>
      </w:pPr>
      <w:r>
        <w:t>D. 关注客户与犯罪实体之间的直接联系</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用风险评分算法解决网络分析中间接关系的优先级排序问题</w:t>
      </w:r>
    </w:p>
    <w:p>
      <w:pPr>
        <w:spacing w:before="120" w:after="40"/>
      </w:pPr>
      <w:r>
        <w:rPr>
          <w:b/>
          <w:sz w:val="21"/>
          <w:shd w:fill="D6E4F0" w:val="clear"/>
        </w:rPr>
        <w:t>核心解析</w:t>
      </w:r>
    </w:p>
    <w:p>
      <w:pPr>
        <w:spacing w:line="360" w:lineRule="auto" w:after="40"/>
        <w:ind w:firstLine="420"/>
      </w:pPr>
      <w:r>
        <w:t>风险评级模型通过为交易行为、客户属性和高风险司法管辖区敞口分配风险评分，增强监控场景有效性</w:t>
      </w:r>
      <w:r>
        <w:rPr>
          <w:sz w:val="15"/>
          <w:vertAlign w:val="superscript"/>
        </w:rPr>
        <w:t>P444</w:t>
      </w:r>
      <w:r>
        <w:t>。严重性因素可用于对警报进行优先级排序以便调查</w:t>
      </w:r>
      <w:r>
        <w:rPr>
          <w:sz w:val="15"/>
          <w:vertAlign w:val="superscript"/>
        </w:rPr>
        <w:t>P444</w:t>
      </w:r>
      <w:r>
        <w:t>。题干中系统已能识别潜在间接关系，但无法排序，因此实施风险评分算法（即对间接关系赋予风险分值）直接弥补了“不能排序”的缺口，使合规官能先处理风险更高的关系，从而提升工具整体有效性。</w:t>
      </w:r>
    </w:p>
    <w:p>
      <w:pPr>
        <w:spacing w:before="120" w:after="40"/>
      </w:pPr>
      <w:r>
        <w:rPr>
          <w:b/>
          <w:sz w:val="21"/>
          <w:shd w:fill="D6E4F0" w:val="clear"/>
        </w:rPr>
        <w:t>教材原句</w:t>
      </w:r>
    </w:p>
    <w:p>
      <w:pPr>
        <w:spacing w:line="360" w:lineRule="auto" w:after="40"/>
        <w:ind w:firstLine="420"/>
      </w:pPr>
      <w:r>
        <w:t>"Risk-rating models enhance scenario effectiveness by assigning risk scores based on transaction behaviors, customer attributes, and exposure to highrisk jurisdictions."</w:t>
      </w:r>
    </w:p>
    <w:p>
      <w:pPr>
        <w:spacing w:before="120" w:after="40"/>
      </w:pPr>
      <w:r>
        <w:rPr>
          <w:b/>
          <w:sz w:val="21"/>
          <w:shd w:fill="D6E4F0" w:val="clear"/>
        </w:rPr>
        <w:t>A项错误</w:t>
      </w:r>
    </w:p>
    <w:p>
      <w:pPr>
        <w:spacing w:line="360" w:lineRule="auto" w:after="40"/>
        <w:ind w:firstLine="420"/>
      </w:pPr>
      <w:r>
        <w:t>手动审查全部被标记关系虽然能逐一核实，但题干的关键问题是系统缺乏排序能力，而非无法发现关系。教材指出网络分析工具可自动发现隐藏关联，无需人工干预</w:t>
      </w:r>
      <w:r>
        <w:rPr>
          <w:sz w:val="15"/>
          <w:vertAlign w:val="superscript"/>
        </w:rPr>
        <w:t>P330</w:t>
      </w:r>
      <w:r>
        <w:t>，全线手动审查不解决排序问题，反而增加了已可自动化的步骤。</w:t>
      </w:r>
    </w:p>
    <w:p>
      <w:pPr>
        <w:spacing w:before="120" w:after="40"/>
      </w:pPr>
      <w:r>
        <w:rPr>
          <w:b/>
          <w:sz w:val="21"/>
          <w:shd w:fill="D6E4F0" w:val="clear"/>
        </w:rPr>
        <w:t>C项错误</w:t>
      </w:r>
    </w:p>
    <w:p>
      <w:pPr>
        <w:spacing w:line="360" w:lineRule="auto" w:after="40"/>
        <w:ind w:firstLine="420"/>
      </w:pPr>
      <w:r>
        <w:t>整合外部数据库和社交媒体资料属于实体解析的外部数据扩充</w:t>
      </w:r>
      <w:r>
        <w:rPr>
          <w:sz w:val="15"/>
          <w:vertAlign w:val="superscript"/>
        </w:rPr>
        <w:t>P484</w:t>
      </w:r>
      <w:r>
        <w:t>，其作用是丰富客户画像、核实身份，而非赋予关系以优先级。题干未提示数据不足，排序需求更直接指向风险评分算法，而非扩充数据源。</w:t>
      </w:r>
    </w:p>
    <w:p>
      <w:pPr>
        <w:spacing w:before="120" w:after="40"/>
      </w:pPr>
      <w:r>
        <w:rPr>
          <w:b/>
          <w:sz w:val="21"/>
          <w:shd w:fill="D6E4F0" w:val="clear"/>
        </w:rPr>
        <w:t>D项错误</w:t>
      </w:r>
    </w:p>
    <w:p>
      <w:pPr>
        <w:spacing w:line="360" w:lineRule="auto" w:after="40"/>
        <w:ind w:firstLine="420"/>
      </w:pPr>
      <w:r>
        <w:t>关注直接联系等于放弃间接关系分析，而题干已说明系统能够识别间接关系，且网络分析的核心价值正在于揭示这些隐藏关联</w:t>
      </w:r>
      <w:r>
        <w:rPr>
          <w:sz w:val="15"/>
          <w:vertAlign w:val="superscript"/>
        </w:rPr>
        <w:t>P438</w:t>
      </w:r>
      <w:r>
        <w:t>。只盯着直接联系无法解决排序问题，反而让已识别的间接信息闲置，与提升工具效力的目标背道而驰。</w:t>
      </w:r>
    </w:p>
    <w:p>
      <w:pPr>
        <w:spacing w:before="120" w:after="40"/>
      </w:pPr>
      <w:r>
        <w:rPr>
          <w:b/>
          <w:sz w:val="21"/>
          <w:shd w:fill="D6E4F0" w:val="clear"/>
        </w:rPr>
        <w:t>易错提醒</w:t>
      </w:r>
    </w:p>
    <w:p>
      <w:pPr>
        <w:spacing w:line="360" w:lineRule="auto" w:after="40"/>
        <w:ind w:firstLine="420"/>
      </w:pPr>
      <w:r>
        <w:t>易混淆选项C：整合外部数据看似能提供更多信息以便排序，但外部数据整合主要解决实体识别与信息补齐</w:t>
      </w:r>
      <w:r>
        <w:rPr>
          <w:sz w:val="15"/>
          <w:vertAlign w:val="superscript"/>
        </w:rPr>
        <w:t>P484</w:t>
      </w:r>
      <w:r>
        <w:t>，而排序需要明确的风险评分框架</w:t>
      </w:r>
      <w:r>
        <w:rPr>
          <w:sz w:val="15"/>
          <w:vertAlign w:val="superscript"/>
        </w:rPr>
        <w:t>P444</w:t>
      </w:r>
      <w:r>
        <w:t>。题干的核心痛点是“已识别但无优先级”，正确答案应聚焦于为已识别的间接关系赋予风险分值，而非继续扩大数据来源。</w:t>
      </w:r>
    </w:p>
    <w:p>
      <w:pPr>
        <w:spacing w:line="360" w:lineRule="auto" w:after="120"/>
      </w:pPr>
      <w:r/>
    </w:p>
    <w:p>
      <w:pPr>
        <w:spacing w:line="360" w:lineRule="auto" w:after="40"/>
      </w:pPr>
      <w:r>
        <w:t>4. 一位金融机构(FI)的客户投诉称,他们收到了多封看似来自该金融机构的电子邮件,催促他们点击链接或打开汇款附件进行确认.客户打开附件后,后来才发现自己银行账户中的资金在他们不知情的情况下被有计划地转走了.此情景中描述的是哪种类型的网络犯罪？ ( )</w:t>
      </w:r>
    </w:p>
    <w:p>
      <w:pPr>
        <w:spacing w:line="360" w:lineRule="auto" w:after="20"/>
        <w:ind w:firstLine="283"/>
      </w:pPr>
      <w:r>
        <w:t>A. 语音钓鱼（vishing）</w:t>
      </w:r>
    </w:p>
    <w:p>
      <w:pPr>
        <w:spacing w:line="360" w:lineRule="auto" w:after="20"/>
        <w:ind w:firstLine="283"/>
      </w:pPr>
      <w:r>
        <w:t>B. 域名欺骗（pharming）</w:t>
      </w:r>
    </w:p>
    <w:p>
      <w:pPr>
        <w:spacing w:line="360" w:lineRule="auto" w:after="20"/>
        <w:ind w:firstLine="283"/>
      </w:pPr>
      <w:r>
        <w:t>C. 短信钓鱼（SMiShing）</w:t>
      </w:r>
    </w:p>
    <w:p>
      <w:pPr>
        <w:spacing w:line="360" w:lineRule="auto" w:after="20"/>
        <w:ind w:firstLine="283"/>
      </w:pPr>
      <w:r>
        <w:t>D. 鱼叉式网络钓鱼</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本题需依据教材规则/定义判断各选项与题干条件的对应关系。</w:t>
      </w:r>
    </w:p>
    <w:p>
      <w:pPr>
        <w:spacing w:before="120" w:after="40"/>
      </w:pPr>
      <w:r>
        <w:rPr>
          <w:b/>
          <w:sz w:val="21"/>
          <w:shd w:fill="D6E4F0" w:val="clear"/>
        </w:rPr>
        <w:t>核心解析</w:t>
      </w:r>
    </w:p>
    <w:p>
      <w:pPr>
        <w:spacing w:line="360" w:lineRule="auto" w:after="40"/>
        <w:ind w:firstLine="420"/>
      </w:pPr>
      <w:r>
        <w:t>现有材料不足以判断该项。</w:t>
      </w:r>
    </w:p>
    <w:p>
      <w:pPr>
        <w:spacing w:before="120" w:after="40"/>
      </w:pPr>
      <w:r>
        <w:rPr>
          <w:b/>
          <w:sz w:val="21"/>
          <w:shd w:fill="D6E4F0" w:val="clear"/>
        </w:rPr>
        <w:t>A项错误</w:t>
      </w:r>
    </w:p>
    <w:p>
      <w:pPr>
        <w:spacing w:line="360" w:lineRule="auto" w:after="40"/>
        <w:ind w:firstLine="420"/>
      </w:pPr>
      <w:r>
        <w:t>“语音钓鱼（vishing）”与题干给出的“一位金融机构(FI)的客户投诉称,他们收到了多封看似来自该金融机构的电子邮件,催促他们点击链接或打开汇款附件进行确认.客户打开附件后,后来才发现自己银行账户中的资金在他们不知情的情况下被有计划地转走了.此情景中描述的是哪种类型的网络犯罪？”不一致。</w:t>
      </w:r>
    </w:p>
    <w:p>
      <w:pPr>
        <w:spacing w:before="120" w:after="40"/>
      </w:pPr>
      <w:r>
        <w:rPr>
          <w:b/>
          <w:sz w:val="21"/>
          <w:shd w:fill="D6E4F0" w:val="clear"/>
        </w:rPr>
        <w:t>B项错误</w:t>
      </w:r>
    </w:p>
    <w:p>
      <w:pPr>
        <w:spacing w:line="360" w:lineRule="auto" w:after="40"/>
        <w:ind w:firstLine="420"/>
      </w:pPr>
      <w:r>
        <w:t>“域名欺骗（pharming）”与题干给出的“一位金融机构(FI)的客户投诉称,他们收到了多封看似来自该金融机构的电子邮件,催促他们点击链接或打开汇款附件进行确认.客户打开附件后,后来才发现自己银行账户中的资金在他们不知情的情况下被有计划地转走了.此情景中描述的是哪种类型的网络犯罪？”不一致。</w:t>
      </w:r>
    </w:p>
    <w:p>
      <w:pPr>
        <w:spacing w:before="120" w:after="40"/>
      </w:pPr>
      <w:r>
        <w:rPr>
          <w:b/>
          <w:sz w:val="21"/>
          <w:shd w:fill="D6E4F0" w:val="clear"/>
        </w:rPr>
        <w:t>C项错误</w:t>
      </w:r>
    </w:p>
    <w:p>
      <w:pPr>
        <w:spacing w:line="360" w:lineRule="auto" w:after="40"/>
        <w:ind w:firstLine="420"/>
      </w:pPr>
      <w:r>
        <w:t>“短信钓鱼（SMiShing）”与题干给出的“一位金融机构(FI)的客户投诉称,他们收到了多封看似来自该金融机构的电子邮件,催促他们点击链接或打开汇款附件进行确认.客户打开附件后,后来才发现自己银行账户中的资金在他们不知情的情况下被有计划地转走了.此情景中描述的是哪种类型的网络犯罪？”不一致。</w:t>
      </w:r>
    </w:p>
    <w:p>
      <w:pPr>
        <w:spacing w:line="360" w:lineRule="auto" w:after="120"/>
      </w:pPr>
      <w:r/>
    </w:p>
    <w:p>
      <w:pPr>
        <w:spacing w:line="360" w:lineRule="auto" w:after="40"/>
      </w:pPr>
      <w:r>
        <w:t>5. 为了验证反洗钱模型的"概念合理性",这一点很重要,具体原因在于: ( )</w:t>
      </w:r>
    </w:p>
    <w:p>
      <w:pPr>
        <w:spacing w:line="360" w:lineRule="auto" w:after="20"/>
        <w:ind w:firstLine="283"/>
      </w:pPr>
      <w:r>
        <w:t>A. 核实是否符合监管指导方针和行业最佳实践</w:t>
      </w:r>
    </w:p>
    <w:p>
      <w:pPr>
        <w:spacing w:line="360" w:lineRule="auto" w:after="20"/>
        <w:ind w:firstLine="283"/>
      </w:pPr>
      <w:r>
        <w:t>B. 评估该模型的方法论和假设是否合乎逻辑且适合用于检测洗钱活动</w:t>
      </w:r>
    </w:p>
    <w:p>
      <w:pPr>
        <w:spacing w:line="360" w:lineRule="auto" w:after="20"/>
        <w:ind w:firstLine="283"/>
      </w:pPr>
      <w:r>
        <w:t>C. 验证模型预测能力的统计显著性</w:t>
      </w:r>
    </w:p>
    <w:p>
      <w:pPr>
        <w:spacing w:line="360" w:lineRule="auto" w:after="20"/>
        <w:ind w:firstLine="283"/>
      </w:pPr>
      <w:r>
        <w:t>D. 展示与当前技术基础设施的兼容性</w:t>
      </w:r>
    </w:p>
    <w:p>
      <w:pPr>
        <w:spacing w:line="360" w:lineRule="auto" w:after="40"/>
      </w:pPr>
      <w:r>
        <w:t>答案:B</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区分模型“概念合理性”验证与合规、统计、技术维度的不同侧重点</w:t>
      </w:r>
    </w:p>
    <w:p>
      <w:pPr>
        <w:spacing w:before="120" w:after="40"/>
      </w:pPr>
      <w:r>
        <w:rPr>
          <w:b/>
          <w:sz w:val="21"/>
          <w:shd w:fill="D6E4F0" w:val="clear"/>
        </w:rPr>
        <w:t>核心解析</w:t>
      </w:r>
    </w:p>
    <w:p>
      <w:pPr>
        <w:spacing w:line="360" w:lineRule="auto" w:after="40"/>
        <w:ind w:firstLine="420"/>
      </w:pPr>
      <w:r>
        <w:t>验证反洗钱模型的概念合理性，就是要检查模型所基于的方法论和假设是否逻辑严谨，并真正适合用于检测洗钱活动。教材在介绍交易监控情景校准治理时指出，机构通过建立治理委员会来“确保选择正确的场景和应用适当的方法论”</w:t>
      </w:r>
      <w:r>
        <w:rPr>
          <w:sz w:val="15"/>
          <w:vertAlign w:val="superscript"/>
        </w:rPr>
        <w:t>P449</w:t>
      </w:r>
      <w:r>
        <w:t>。这一职责正是概念合理性验证的核心——在模型开发阶段审视其内在逻辑和设计前提，而非后续的性能调优或系统集成。题干问的是验证概念合理性的目的，直接对应的就是评估方法论和假设的合理性及适用性，因此选项B正确。</w:t>
      </w:r>
    </w:p>
    <w:p>
      <w:pPr>
        <w:spacing w:before="120" w:after="40"/>
      </w:pPr>
      <w:r>
        <w:rPr>
          <w:b/>
          <w:sz w:val="21"/>
          <w:shd w:fill="D6E4F0" w:val="clear"/>
        </w:rPr>
        <w:t>教材原句</w:t>
      </w:r>
    </w:p>
    <w:p>
      <w:pPr>
        <w:spacing w:line="360" w:lineRule="auto" w:after="40"/>
        <w:ind w:firstLine="420"/>
      </w:pPr>
      <w:r>
        <w:t>"To ensure they select the right scenarios and apply appropriate methodologies, institutions establish governance committees, such as for model risk governance."</w:t>
      </w:r>
    </w:p>
    <w:p>
      <w:pPr>
        <w:spacing w:before="120" w:after="40"/>
      </w:pPr>
      <w:r>
        <w:rPr>
          <w:b/>
          <w:sz w:val="21"/>
          <w:shd w:fill="D6E4F0" w:val="clear"/>
        </w:rPr>
        <w:t>A项错误</w:t>
      </w:r>
    </w:p>
    <w:p>
      <w:pPr>
        <w:spacing w:line="360" w:lineRule="auto" w:after="40"/>
        <w:ind w:firstLine="420"/>
      </w:pPr>
      <w:r>
        <w:t>教材提到行业最佳实践建议每半年或每年进行结构化审查以保持有效性和监管一致性</w:t>
      </w:r>
      <w:r>
        <w:rPr>
          <w:sz w:val="15"/>
          <w:vertAlign w:val="superscript"/>
        </w:rPr>
        <w:t>P447</w:t>
      </w:r>
      <w:r>
        <w:t>，这类审查更偏向模型运行过程中的合规性和有效性调优，而非模型设计阶段的概念合理性验证。题干更支持对模型方法论和假设本身的逻辑评估，而不是外部监管对齐的核实。</w:t>
      </w:r>
    </w:p>
    <w:p>
      <w:pPr>
        <w:spacing w:before="120" w:after="40"/>
      </w:pPr>
      <w:r>
        <w:rPr>
          <w:b/>
          <w:sz w:val="21"/>
          <w:shd w:fill="D6E4F0" w:val="clear"/>
        </w:rPr>
        <w:t>C项错误</w:t>
      </w:r>
    </w:p>
    <w:p>
      <w:pPr>
        <w:spacing w:line="360" w:lineRule="auto" w:after="40"/>
        <w:ind w:firstLine="420"/>
      </w:pPr>
      <w:r>
        <w:t>验证模型的统计显著性侧重于用数据检验预测能力，属于模型性能测试的范畴。而概念合理性关注的是模型底层逻辑和假设的适当性，在教材框架下的匹配度不如选项B直接。题干未提及统计指标或量化测试的要求。</w:t>
      </w:r>
    </w:p>
    <w:p>
      <w:pPr>
        <w:spacing w:before="120" w:after="40"/>
      </w:pPr>
      <w:r>
        <w:rPr>
          <w:b/>
          <w:sz w:val="21"/>
          <w:shd w:fill="D6E4F0" w:val="clear"/>
        </w:rPr>
        <w:t>D项错误</w:t>
      </w:r>
    </w:p>
    <w:p>
      <w:pPr>
        <w:spacing w:line="360" w:lineRule="auto" w:after="40"/>
        <w:ind w:firstLine="420"/>
      </w:pPr>
      <w:r>
        <w:t>技术基础设施的兼容性是系统实施阶段的考量，教材虽提及集成现有系统</w:t>
      </w:r>
      <w:r>
        <w:rPr>
          <w:sz w:val="15"/>
          <w:vertAlign w:val="superscript"/>
        </w:rPr>
        <w:t>P378</w:t>
      </w:r>
      <w:r>
        <w:t>，但这与模型方法论和假设是否合乎逻辑没有直接关系。题干没有引入任何关于技术环境或兼容性的要素，因此匹配度明显弱于B。</w:t>
      </w:r>
    </w:p>
    <w:p>
      <w:pPr>
        <w:spacing w:before="120" w:after="40"/>
      </w:pPr>
      <w:r>
        <w:rPr>
          <w:b/>
          <w:sz w:val="21"/>
          <w:shd w:fill="D6E4F0" w:val="clear"/>
        </w:rPr>
        <w:t>易错提醒</w:t>
      </w:r>
    </w:p>
    <w:p>
      <w:pPr>
        <w:spacing w:line="360" w:lineRule="auto" w:after="40"/>
        <w:ind w:firstLine="420"/>
      </w:pPr>
      <w:r>
        <w:t>模型的概念合理性验证关注方法论和假设的逻辑适当性，属于开发阶段的设计确认；而行业最佳实践建议的定期结构化审查</w:t>
      </w:r>
      <w:r>
        <w:rPr>
          <w:sz w:val="15"/>
          <w:vertAlign w:val="superscript"/>
        </w:rPr>
        <w:t>P447</w:t>
      </w:r>
      <w:r>
        <w:t>是后期的校准和监控活动，旨在保持有效性和监管一致性。两者分属模型生命周期的不同节点，前者侧重逻辑起点，后者侧重持续运行。</w:t>
      </w:r>
    </w:p>
    <w:p>
      <w:pPr>
        <w:spacing w:line="360" w:lineRule="auto" w:after="120"/>
      </w:pPr>
      <w:r/>
    </w:p>
    <w:p>
      <w:pPr>
        <w:spacing w:line="360" w:lineRule="auto" w:after="40"/>
      </w:pPr>
      <w:r>
        <w:t>6. 哪种交易监控工具的特性最能帮助金融机构迅速应对新兴的金融犯罪风险和威胁？ ( )</w:t>
      </w:r>
    </w:p>
    <w:p>
      <w:pPr>
        <w:spacing w:line="360" w:lineRule="auto" w:after="20"/>
        <w:ind w:firstLine="283"/>
      </w:pPr>
      <w:r>
        <w:t>A. 基于云的部署</w:t>
      </w:r>
    </w:p>
    <w:p>
      <w:pPr>
        <w:spacing w:line="360" w:lineRule="auto" w:after="20"/>
        <w:ind w:firstLine="283"/>
      </w:pPr>
      <w:r>
        <w:t>B. 可配置的报告功能</w:t>
      </w:r>
    </w:p>
    <w:p>
      <w:pPr>
        <w:spacing w:line="360" w:lineRule="auto" w:after="20"/>
        <w:ind w:firstLine="283"/>
      </w:pPr>
      <w:r>
        <w:t>C. 完全集成的人工智能(AI)</w:t>
      </w:r>
    </w:p>
    <w:p>
      <w:pPr>
        <w:spacing w:line="360" w:lineRule="auto" w:after="20"/>
        <w:ind w:firstLine="283"/>
      </w:pPr>
      <w:r>
        <w:t>D. 构建、迭代和测试规则的能力</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交易监控规则的持续测试和调优能力是快速应对新兴风险的关键</w:t>
      </w:r>
    </w:p>
    <w:p>
      <w:pPr>
        <w:spacing w:before="120" w:after="40"/>
      </w:pPr>
      <w:r>
        <w:rPr>
          <w:b/>
          <w:sz w:val="21"/>
          <w:shd w:fill="D6E4F0" w:val="clear"/>
        </w:rPr>
        <w:t>核心解析</w:t>
      </w:r>
    </w:p>
    <w:p>
      <w:pPr>
        <w:spacing w:line="360" w:lineRule="auto" w:after="40"/>
        <w:ind w:firstLine="420"/>
      </w:pPr>
      <w:r>
        <w:t>金融机构部署交易监控场景后，应持续测试和调优以确保有效性，这一过程由监管变化、新兴金融犯罪趋势或客户交易行为变化等特殊情形触发</w:t>
      </w:r>
      <w:r>
        <w:rPr>
          <w:sz w:val="15"/>
          <w:vertAlign w:val="superscript"/>
        </w:rPr>
        <w:t>P446</w:t>
      </w:r>
      <w:r>
        <w:t>。基于规则的交易监控系统通常更易于测试和调优</w:t>
      </w:r>
      <w:r>
        <w:rPr>
          <w:sz w:val="15"/>
          <w:vertAlign w:val="superscript"/>
        </w:rPr>
        <w:t>P446</w:t>
      </w:r>
      <w:r>
        <w:t>。题干要求“迅速应对新兴的金融犯罪风险和威胁”，而“构建、迭代和测试规则的能力”直接对应教材对规则系统的持续测试和调优要求，使机构能在发现新风险时快速调整监控逻辑，缩短响应时间，因此该特性最能支持迅速应对。</w:t>
      </w:r>
    </w:p>
    <w:p>
      <w:pPr>
        <w:spacing w:before="120" w:after="40"/>
      </w:pPr>
      <w:r>
        <w:rPr>
          <w:b/>
          <w:sz w:val="21"/>
          <w:shd w:fill="D6E4F0" w:val="clear"/>
        </w:rPr>
        <w:t>教材原句</w:t>
      </w:r>
    </w:p>
    <w:p>
      <w:pPr>
        <w:spacing w:line="360" w:lineRule="auto" w:after="40"/>
        <w:ind w:firstLine="420"/>
      </w:pPr>
      <w:r>
        <w:t>"Once financial institutions develop, calibrate, and deploy transaction monitoring scenarios, they should continuously test and tune them to ensure effectiveness."</w:t>
      </w:r>
    </w:p>
    <w:p>
      <w:pPr>
        <w:spacing w:before="120" w:after="40"/>
      </w:pPr>
      <w:r>
        <w:rPr>
          <w:b/>
          <w:sz w:val="21"/>
          <w:shd w:fill="D6E4F0" w:val="clear"/>
        </w:rPr>
        <w:t>A项错误</w:t>
      </w:r>
    </w:p>
    <w:p>
      <w:pPr>
        <w:spacing w:line="360" w:lineRule="auto" w:after="40"/>
        <w:ind w:firstLine="420"/>
      </w:pPr>
      <w:r>
        <w:t>云部署在教材中被描述为“提供更多集成可能”</w:t>
      </w:r>
      <w:r>
        <w:rPr>
          <w:sz w:val="15"/>
          <w:vertAlign w:val="superscript"/>
        </w:rPr>
        <w:t>P426</w:t>
      </w:r>
      <w:r>
        <w:t>，更侧重于系统集成和部署模式，而非直接支持监控逻辑的快速调整。题干强调“迅速应对”新风险，而构建和迭代规则的能力比云部署更直接地服务于这一目标。</w:t>
      </w:r>
    </w:p>
    <w:p>
      <w:pPr>
        <w:spacing w:before="120" w:after="40"/>
      </w:pPr>
      <w:r>
        <w:rPr>
          <w:b/>
          <w:sz w:val="21"/>
          <w:shd w:fill="D6E4F0" w:val="clear"/>
        </w:rPr>
        <w:t>B项错误</w:t>
      </w:r>
    </w:p>
    <w:p>
      <w:pPr>
        <w:spacing w:line="360" w:lineRule="auto" w:after="40"/>
        <w:ind w:firstLine="420"/>
      </w:pPr>
      <w:r>
        <w:t>教材中可配置报告的功能主要关联治理评估与信息呈现</w:t>
      </w:r>
      <w:r>
        <w:rPr>
          <w:sz w:val="15"/>
          <w:vertAlign w:val="superscript"/>
        </w:rPr>
        <w:t>P387</w:t>
      </w:r>
      <w:r>
        <w:t>，未显示其能够直接调整对新兴犯罪模式的检测能力。而D项直接对应规则系统的持续调优，更贴合“迅速应对”新兴威胁的题干需求。</w:t>
      </w:r>
    </w:p>
    <w:p>
      <w:pPr>
        <w:spacing w:before="120" w:after="40"/>
      </w:pPr>
      <w:r>
        <w:rPr>
          <w:b/>
          <w:sz w:val="21"/>
          <w:shd w:fill="D6E4F0" w:val="clear"/>
        </w:rPr>
        <w:t>C项错误</w:t>
      </w:r>
    </w:p>
    <w:p>
      <w:pPr>
        <w:spacing w:line="360" w:lineRule="auto" w:after="40"/>
        <w:ind w:firstLine="420"/>
      </w:pPr>
      <w:r>
        <w:t>AI能检测复杂犯罪模式，但教材同时指出实施AI需用多样化数据测试、具备可解释性</w:t>
      </w:r>
      <w:r>
        <w:rPr>
          <w:sz w:val="15"/>
          <w:vertAlign w:val="superscript"/>
        </w:rPr>
        <w:t>P331</w:t>
      </w:r>
      <w:r>
        <w:t>，且规则系统更易测试和调优</w:t>
      </w:r>
      <w:r>
        <w:rPr>
          <w:sz w:val="15"/>
          <w:vertAlign w:val="superscript"/>
        </w:rPr>
        <w:t>P446</w:t>
      </w:r>
      <w:r>
        <w:t>。在“迅速应对”新兴威胁的语境下，直接构建和迭代规则的灵活性优于AI所需的模型训练和验证周期，因此D项比AI更匹配题干。</w:t>
      </w:r>
    </w:p>
    <w:p>
      <w:pPr>
        <w:spacing w:before="120" w:after="40"/>
      </w:pPr>
      <w:r>
        <w:rPr>
          <w:b/>
          <w:sz w:val="21"/>
          <w:shd w:fill="D6E4F0" w:val="clear"/>
        </w:rPr>
        <w:t>易错提醒</w:t>
      </w:r>
    </w:p>
    <w:p>
      <w:pPr>
        <w:spacing w:line="360" w:lineRule="auto" w:after="40"/>
        <w:ind w:firstLine="420"/>
      </w:pPr>
      <w:r>
        <w:t>AI虽能适应复杂模式，但教材强调基于规则的系统更易测试和调优</w:t>
      </w:r>
      <w:r>
        <w:rPr>
          <w:sz w:val="15"/>
          <w:vertAlign w:val="superscript"/>
        </w:rPr>
        <w:t>P446</w:t>
      </w:r>
      <w:r>
        <w:t>，而AI模型需要多样化数据测试、可解释性验证</w:t>
      </w:r>
      <w:r>
        <w:rPr>
          <w:sz w:val="15"/>
          <w:vertAlign w:val="superscript"/>
        </w:rPr>
        <w:t>P331</w:t>
      </w:r>
      <w:r>
        <w:t>，调整响应速度往往不如直接修改规则阈值那样迅捷。面对新兴风险，快速迭代规则比等待AI重新训练更直接。</w:t>
      </w:r>
    </w:p>
    <w:p>
      <w:pPr>
        <w:spacing w:line="360" w:lineRule="auto" w:after="120"/>
      </w:pPr>
      <w:r/>
    </w:p>
    <w:p>
      <w:pPr>
        <w:spacing w:line="360" w:lineRule="auto" w:after="40"/>
      </w:pPr>
      <w:r>
        <w:t>7. [洗钱和恐怖融资的风险及方法]在美国一家大型银行中,有一名员工领导着一个团队,负责监督该行交易监控方法的治理和有效性.团队应实施哪些策略？(选择两项.) ( )</w:t>
      </w:r>
    </w:p>
    <w:p>
      <w:pPr>
        <w:spacing w:line="360" w:lineRule="auto" w:after="20"/>
        <w:ind w:firstLine="283"/>
      </w:pPr>
      <w:r>
        <w:t>A. 定期及临时与法律团队合作,对传票对象或政府调查所涉交易进行适当调查和监控</w:t>
      </w:r>
    </w:p>
    <w:p>
      <w:pPr>
        <w:spacing w:line="360" w:lineRule="auto" w:after="20"/>
        <w:ind w:firstLine="283"/>
      </w:pPr>
      <w:r>
        <w:t>B. 定期审查客户档案,以确保高风险客户的档案信息是最新的,符合银行内部政策和程序的要求.</w:t>
      </w:r>
    </w:p>
    <w:p>
      <w:pPr>
        <w:spacing w:line="360" w:lineRule="auto" w:after="20"/>
        <w:ind w:firstLine="283"/>
      </w:pPr>
      <w:r>
        <w:t>C. 定期审查向金融犯罪执法网络(FinCEN)提交的可疑活动报告(SAR),以确定是否应撤回其中任何一份报告</w:t>
      </w:r>
    </w:p>
    <w:p>
      <w:pPr>
        <w:spacing w:line="360" w:lineRule="auto" w:after="20"/>
        <w:ind w:firstLine="283"/>
      </w:pPr>
      <w:r>
        <w:t>D. 定期审查交易监测场景及其成效,以确保适当反映反洗钱的各类模式</w:t>
      </w:r>
    </w:p>
    <w:p>
      <w:pPr>
        <w:spacing w:line="360" w:lineRule="auto" w:after="40"/>
      </w:pPr>
      <w:r>
        <w:t>答案:B、D</w:t>
      </w:r>
    </w:p>
    <w:p>
      <w:pPr>
        <w:spacing w:line="360" w:lineRule="auto" w:after="40"/>
      </w:pPr>
      <w:r>
        <w:t>解析：</w:t>
      </w:r>
    </w:p>
    <w:p>
      <w:pPr>
        <w:spacing w:before="120" w:after="40"/>
      </w:pPr>
      <w:r>
        <w:rPr>
          <w:b/>
          <w:sz w:val="21"/>
          <w:shd w:fill="D6E4F0" w:val="clear"/>
        </w:rPr>
        <w:t>考点</w:t>
      </w:r>
    </w:p>
    <w:p>
      <w:pPr>
        <w:spacing w:line="360" w:lineRule="auto" w:after="40"/>
        <w:ind w:firstLine="420"/>
      </w:pPr>
      <w:r>
        <w:t>交易监控团队的持续维护职责：客户档案审查与场景有效性测试</w:t>
      </w:r>
    </w:p>
    <w:p>
      <w:pPr>
        <w:spacing w:before="120" w:after="40"/>
      </w:pPr>
      <w:r>
        <w:rPr>
          <w:b/>
          <w:sz w:val="21"/>
          <w:shd w:fill="D6E4F0" w:val="clear"/>
        </w:rPr>
        <w:t>核心解析</w:t>
      </w:r>
    </w:p>
    <w:p>
      <w:pPr>
        <w:spacing w:line="360" w:lineRule="auto" w:after="40"/>
        <w:ind w:firstLine="420"/>
      </w:pPr>
      <w:r>
        <w:t>题干问的是：负责监督交易监控方法治理和有效性的团队，应实施哪些策略。这涉及两个核心维度——输入端（客户数据质量）和规则端（监控场景的有效性）。定期KYC审查（periodic KYC review）指根据客户风险等级定期更新客户信息、所有权结构、业务活动和风险分类</w:t>
      </w:r>
      <w:r>
        <w:rPr>
          <w:sz w:val="15"/>
          <w:vertAlign w:val="superscript"/>
        </w:rPr>
        <w:t>P315</w:t>
      </w:r>
      <w:r>
        <w:t>。Magnify Bank案例中，银行将客户风险档案与交易数据整合进交易监控系统以检测异常并触发告警</w:t>
      </w:r>
      <w:r>
        <w:rPr>
          <w:sz w:val="15"/>
          <w:vertAlign w:val="superscript"/>
        </w:rPr>
        <w:t>P478</w:t>
      </w:r>
      <w:r>
        <w:t>。若高风险客户的档案信息陈旧，交易监控将失去可靠的参照基础，由此可直接推断B项是输入端的治理策略。另一方面，金融机构部署交易监控场景后，应持续测试和调优以确保有效性</w:t>
      </w:r>
      <w:r>
        <w:rPr>
          <w:sz w:val="15"/>
          <w:vertAlign w:val="superscript"/>
        </w:rPr>
        <w:t>P446</w:t>
      </w:r>
      <w:r>
        <w:t>，并保持结构化方法使系统保持有效、适应性强且符合监管与运营目标</w:t>
      </w:r>
      <w:r>
        <w:rPr>
          <w:sz w:val="15"/>
          <w:vertAlign w:val="superscript"/>
        </w:rPr>
        <w:t>P447</w:t>
      </w:r>
      <w:r>
        <w:t>。“typologies”即反洗钱的各类模式，定期审查场景及其成效以反映这些模式，正是治理和有效性监督的直接体现。B负责“数据质量”，D负责“规则质量”，二者共同构成交易监控方法的治理闭环。</w:t>
      </w:r>
    </w:p>
    <w:p>
      <w:pPr>
        <w:spacing w:before="120" w:after="40"/>
      </w:pPr>
      <w:r>
        <w:rPr>
          <w:b/>
          <w:sz w:val="21"/>
          <w:shd w:fill="D6E4F0" w:val="clear"/>
        </w:rPr>
        <w:t>教材原句</w:t>
      </w:r>
    </w:p>
    <w:p>
      <w:pPr>
        <w:spacing w:line="360" w:lineRule="auto" w:after="40"/>
        <w:ind w:firstLine="420"/>
      </w:pPr>
      <w:r>
        <w:t>"Once financial institutions develop, calibrate, and deploy transaction monitoring scenarios, they should continuously test and tune them to ensure effectiveness."</w:t>
      </w:r>
    </w:p>
    <w:p>
      <w:pPr>
        <w:spacing w:before="120" w:after="40"/>
      </w:pPr>
      <w:r>
        <w:rPr>
          <w:b/>
          <w:sz w:val="21"/>
          <w:shd w:fill="D6E4F0" w:val="clear"/>
        </w:rPr>
        <w:t>A项错误</w:t>
      </w:r>
    </w:p>
    <w:p>
      <w:pPr>
        <w:spacing w:line="360" w:lineRule="auto" w:after="40"/>
        <w:ind w:firstLine="420"/>
      </w:pPr>
      <w:r>
        <w:t>题干团队的职责是“治理与有效性”，而非具体案件的调查执行。法律部门协助解释法规、处理合规问题及管理潜在法律责任</w:t>
      </w:r>
      <w:r>
        <w:rPr>
          <w:sz w:val="15"/>
          <w:vertAlign w:val="superscript"/>
        </w:rPr>
        <w:t>P262</w:t>
      </w:r>
      <w:r>
        <w:t>，其角色是向团队提供支持，而非团队自身应实施的策略。在教材框架下，与法律团队合作更接近第三方的按需配合，不如B和D那样直接属于交易监控治理团队的固有职责范围。</w:t>
      </w:r>
    </w:p>
    <w:p>
      <w:pPr>
        <w:spacing w:before="120" w:after="40"/>
      </w:pPr>
      <w:r>
        <w:rPr>
          <w:b/>
          <w:sz w:val="21"/>
          <w:shd w:fill="D6E4F0" w:val="clear"/>
        </w:rPr>
        <w:t>C项错误</w:t>
      </w:r>
    </w:p>
    <w:p>
      <w:pPr>
        <w:spacing w:line="360" w:lineRule="auto" w:after="40"/>
        <w:ind w:firstLine="420"/>
      </w:pPr>
      <w:r>
        <w:t>教材讨论SAR时主要关注提交前的审查流程</w:t>
      </w:r>
      <w:r>
        <w:rPr>
          <w:sz w:val="15"/>
          <w:vertAlign w:val="superscript"/>
        </w:rPr>
        <w:t>P346</w:t>
      </w:r>
      <w:r>
        <w:t>和提交后的账户监控</w:t>
      </w:r>
      <w:r>
        <w:rPr>
          <w:sz w:val="15"/>
          <w:vertAlign w:val="superscript"/>
        </w:rPr>
        <w:t>P357</w:t>
      </w:r>
      <w:r>
        <w:t>，以“是否应撤回”为目标的定期审查并非教材框架中交易监控治理的核心工作。更何况，FinCEN对SAR有明确的30个日历日提交截止要求</w:t>
      </w:r>
      <w:r>
        <w:rPr>
          <w:sz w:val="15"/>
          <w:vertAlign w:val="superscript"/>
        </w:rPr>
        <w:t>P346</w:t>
      </w:r>
      <w:r>
        <w:t>，撤回并非教材着墨的方向。在本题条件下，定期审查场景成效（D）比审查SAR是否应撤回更能体现“交易监控方法的治理与有效性”这一题干定位。</w:t>
      </w:r>
    </w:p>
    <w:p>
      <w:pPr>
        <w:spacing w:line="360" w:lineRule="auto" w:after="120"/>
      </w:pPr>
      <w:r/>
    </w:p>
    <w:p>
      <w:pPr>
        <w:spacing w:line="360" w:lineRule="auto" w:after="40"/>
      </w:pPr>
      <w:r>
        <w:t>8. 负责监督银行交易监控方法的治理和有效性的团队应实施哪些策略？(选择两项.) ( )</w:t>
      </w:r>
    </w:p>
    <w:p>
      <w:pPr>
        <w:spacing w:line="360" w:lineRule="auto" w:after="20"/>
        <w:ind w:firstLine="283"/>
      </w:pPr>
      <w:r>
        <w:t>A. 定期审查向金融犯罪执法网络(FinCEN)提交的可疑活动报告(SAR)，以确定是否应撤回其中任何一份</w:t>
      </w:r>
    </w:p>
    <w:p>
      <w:pPr>
        <w:spacing w:line="360" w:lineRule="auto" w:after="20"/>
        <w:ind w:firstLine="283"/>
      </w:pPr>
      <w:r>
        <w:t>B. 定期及临时与法律团队合作，对传票对象或政府调查所涉交易进行适当调查和监控</w:t>
      </w:r>
    </w:p>
    <w:p>
      <w:pPr>
        <w:spacing w:line="360" w:lineRule="auto" w:after="20"/>
        <w:ind w:firstLine="283"/>
      </w:pPr>
      <w:r>
        <w:t>C. 定期审查客户档案，以确保高风险客户的档案信息是最新的，并符合银行内部政策和程序</w:t>
      </w:r>
    </w:p>
    <w:p>
      <w:pPr>
        <w:spacing w:line="360" w:lineRule="auto" w:after="20"/>
        <w:ind w:firstLine="283"/>
      </w:pPr>
      <w:r>
        <w:t>D. 定期审查交易监测场景及其成效，以确保适当反映反洗钱的各类模式</w:t>
      </w:r>
    </w:p>
    <w:p>
      <w:pPr>
        <w:spacing w:line="360" w:lineRule="auto" w:after="40"/>
      </w:pPr>
      <w:r>
        <w:t>答案:C、D</w:t>
      </w:r>
    </w:p>
    <w:p>
      <w:pPr>
        <w:spacing w:line="360" w:lineRule="auto" w:after="40"/>
      </w:pPr>
      <w:r>
        <w:t>解析：</w:t>
      </w:r>
    </w:p>
    <w:p>
      <w:pPr>
        <w:spacing w:before="120" w:after="40"/>
      </w:pPr>
      <w:r>
        <w:rPr>
          <w:b/>
          <w:sz w:val="21"/>
          <w:shd w:fill="D6E4F0" w:val="clear"/>
        </w:rPr>
        <w:t>考点</w:t>
      </w:r>
    </w:p>
    <w:p>
      <w:pPr>
        <w:spacing w:line="360" w:lineRule="auto" w:after="40"/>
        <w:ind w:firstLine="420"/>
      </w:pPr>
      <w:r>
        <w:t>治理委员会需定期审查监控场景有效性和高风险客户档案更新</w:t>
      </w:r>
    </w:p>
    <w:p>
      <w:pPr>
        <w:spacing w:before="120" w:after="40"/>
      </w:pPr>
      <w:r>
        <w:rPr>
          <w:b/>
          <w:sz w:val="21"/>
          <w:shd w:fill="D6E4F0" w:val="clear"/>
        </w:rPr>
        <w:t>核心解析</w:t>
      </w:r>
    </w:p>
    <w:p>
      <w:pPr>
        <w:spacing w:line="360" w:lineRule="auto" w:after="40"/>
        <w:ind w:firstLine="420"/>
      </w:pPr>
      <w:r>
        <w:t>治理委员会负责确保交易监控规则有效、公平、准确，并定期评估现有场景是否与不断演变的金融犯罪趋势、监管预期和新洗钱手法保持一致，同时审查、批准、验证初始及持续的场景开发、调优以及停用过时或无效场景</w:t>
      </w:r>
      <w:r>
        <w:rPr>
          <w:sz w:val="15"/>
          <w:vertAlign w:val="superscript"/>
        </w:rPr>
        <w:t>P449</w:t>
      </w:r>
      <w:r>
        <w:t>。题干要求“监督银行交易监控方法的治理和有效性的团队”应实施的策略，因此定期审查交易监测场景及其成效（选项D）直接契合治理委员会对监控系统持续评估和更新的职责。另一方面，适当的分群和持续了解你的客户审查确保对不同客户群体进行适当监控</w:t>
      </w:r>
      <w:r>
        <w:rPr>
          <w:sz w:val="15"/>
          <w:vertAlign w:val="superscript"/>
        </w:rPr>
        <w:t>P436</w:t>
      </w:r>
      <w:r>
        <w:t>——高风险客户档案信息需根据风险等级定期更新</w:t>
      </w:r>
      <w:r>
        <w:rPr>
          <w:sz w:val="15"/>
          <w:vertAlign w:val="superscript"/>
        </w:rPr>
        <w:t>P315</w:t>
      </w:r>
      <w:r>
        <w:t>。定期审查高风险客户档案以保证信息最新且符合内部政策（选项C），正是保障交易监控精准性、有效性的基础策略，与治理团队对监控有效性的监督职责吻合。</w:t>
      </w:r>
    </w:p>
    <w:p>
      <w:pPr>
        <w:spacing w:before="120" w:after="40"/>
      </w:pPr>
      <w:r>
        <w:rPr>
          <w:b/>
          <w:sz w:val="21"/>
          <w:shd w:fill="D6E4F0" w:val="clear"/>
        </w:rPr>
        <w:t>A项错误</w:t>
      </w:r>
    </w:p>
    <w:p>
      <w:pPr>
        <w:spacing w:line="360" w:lineRule="auto" w:after="40"/>
        <w:ind w:firstLine="420"/>
      </w:pPr>
      <w:r>
        <w:t>选项A涉及可疑活动报告提交后的撤回审查，属于SAR报告流程中的复核与补充调查环节</w:t>
      </w:r>
      <w:r>
        <w:rPr>
          <w:sz w:val="15"/>
          <w:vertAlign w:val="superscript"/>
        </w:rPr>
        <w:t>P346</w:t>
      </w:r>
      <w:r>
        <w:t>，并非治理团队监督交易监控方法有效性的核心策略。相比之下，治理委员会的职责更直接指向监控场景本身的调优和档案完整性的维持，而非对已提交报告的撤回决策。</w:t>
      </w:r>
    </w:p>
    <w:p>
      <w:pPr>
        <w:spacing w:before="120" w:after="40"/>
      </w:pPr>
      <w:r>
        <w:rPr>
          <w:b/>
          <w:sz w:val="21"/>
          <w:shd w:fill="D6E4F0" w:val="clear"/>
        </w:rPr>
        <w:t>B项错误</w:t>
      </w:r>
    </w:p>
    <w:p>
      <w:pPr>
        <w:spacing w:line="360" w:lineRule="auto" w:after="40"/>
        <w:ind w:firstLine="420"/>
      </w:pPr>
      <w:r>
        <w:t>教材提到法律部门可协助解释法规、处理合规问题</w:t>
      </w:r>
      <w:r>
        <w:rPr>
          <w:sz w:val="15"/>
          <w:vertAlign w:val="superscript"/>
        </w:rPr>
        <w:t>P262</w:t>
      </w:r>
      <w:r>
        <w:t>，但这一职能属于第二道防线法律团队的支持角色，不构成治理团队监督交易监控有效性的专项策略。正确项C和D更直接对应治理委员会对监控系统及客户档案的定期审查，与题干的任务匹配度更高。</w:t>
      </w:r>
    </w:p>
    <w:p>
      <w:pPr>
        <w:spacing w:before="120" w:after="40"/>
      </w:pPr>
      <w:r>
        <w:rPr>
          <w:b/>
          <w:sz w:val="21"/>
          <w:shd w:fill="D6E4F0" w:val="clear"/>
        </w:rPr>
        <w:t>易错提醒</w:t>
      </w:r>
    </w:p>
    <w:p>
      <w:pPr>
        <w:spacing w:line="360" w:lineRule="auto" w:after="40"/>
        <w:ind w:firstLine="420"/>
      </w:pPr>
      <w:r>
        <w:t>治理委员会关注的是交易监控系统的持续有效性（如场景调优、停用过时场景），而非已提交SAR的撤回审查——后者属于报告流程的事后质量复核，不在交易监控方法治理范畴。定期KYC审查则是确保监控精准性的基础，与场景审查共同构成治理团队的关键策略。</w:t>
      </w:r>
    </w:p>
    <w:p>
      <w:pPr>
        <w:spacing w:line="360" w:lineRule="auto" w:after="120"/>
      </w:pPr>
      <w:r/>
    </w:p>
    <w:p>
      <w:pPr>
        <w:spacing w:line="360" w:lineRule="auto" w:after="40"/>
      </w:pPr>
      <w:r>
        <w:t>9. 以下哪些是金融机构利用监管报告改进交易监控时的关键步骤？(选择两项.) ( )</w:t>
      </w:r>
    </w:p>
    <w:p>
      <w:pPr>
        <w:spacing w:line="360" w:lineRule="auto" w:after="20"/>
        <w:ind w:firstLine="283"/>
      </w:pPr>
      <w:r>
        <w:t>A. 对报告中提及的所有部门和产品的内部数据进行比较</w:t>
      </w:r>
    </w:p>
    <w:p>
      <w:pPr>
        <w:spacing w:line="360" w:lineRule="auto" w:after="20"/>
        <w:ind w:firstLine="283"/>
      </w:pPr>
      <w:r>
        <w:t>B. 系统地将报告中识别出的风险纳入内部风险评估</w:t>
      </w:r>
    </w:p>
    <w:p>
      <w:pPr>
        <w:spacing w:line="360" w:lineRule="auto" w:after="20"/>
        <w:ind w:firstLine="283"/>
      </w:pPr>
      <w:r>
        <w:t>C. 将监管报告与同行数据进行比较</w:t>
      </w:r>
    </w:p>
    <w:p>
      <w:pPr>
        <w:spacing w:line="360" w:lineRule="auto" w:after="20"/>
        <w:ind w:firstLine="283"/>
      </w:pPr>
      <w:r>
        <w:t>D. 根据已报告的犯罪类型构建或完善监测场景</w:t>
      </w:r>
    </w:p>
    <w:p>
      <w:pPr>
        <w:spacing w:line="360" w:lineRule="auto" w:after="40"/>
      </w:pPr>
      <w:r>
        <w:t>答案:B、D</w:t>
      </w:r>
    </w:p>
    <w:p>
      <w:pPr>
        <w:spacing w:line="360" w:lineRule="auto" w:after="40"/>
      </w:pPr>
      <w:r>
        <w:t>解析：</w:t>
      </w:r>
    </w:p>
    <w:p>
      <w:pPr>
        <w:spacing w:before="120" w:after="40"/>
      </w:pPr>
      <w:r>
        <w:rPr>
          <w:b/>
          <w:sz w:val="21"/>
          <w:shd w:fill="D6E4F0" w:val="clear"/>
        </w:rPr>
        <w:t>考点</w:t>
      </w:r>
    </w:p>
    <w:p>
      <w:pPr>
        <w:spacing w:line="360" w:lineRule="auto" w:after="40"/>
        <w:ind w:firstLine="420"/>
      </w:pPr>
      <w:r>
        <w:t>监管报告如何驱动风险评估与监控场景构建</w:t>
      </w:r>
    </w:p>
    <w:p>
      <w:pPr>
        <w:spacing w:before="120" w:after="40"/>
      </w:pPr>
      <w:r>
        <w:rPr>
          <w:b/>
          <w:sz w:val="21"/>
          <w:shd w:fill="D6E4F0" w:val="clear"/>
        </w:rPr>
        <w:t>核心解析</w:t>
      </w:r>
    </w:p>
    <w:p>
      <w:pPr>
        <w:spacing w:line="360" w:lineRule="auto" w:after="40"/>
        <w:ind w:firstLine="420"/>
      </w:pPr>
      <w:r>
        <w:t>教材要求，机构应分析执法和政府风险报告，以制定可操作的监控场景</w:t>
      </w:r>
      <w:r>
        <w:rPr>
          <w:sz w:val="15"/>
          <w:vertAlign w:val="superscript"/>
        </w:rPr>
        <w:t>P442</w:t>
      </w:r>
      <w:r>
        <w:t>。同时，企业全面风险评估（EWRA）应纳入国家风险评估和行业风险评估中识别的风险</w:t>
      </w:r>
      <w:r>
        <w:rPr>
          <w:sz w:val="15"/>
          <w:vertAlign w:val="superscript"/>
        </w:rPr>
        <w:t>P268</w:t>
      </w:r>
      <w:r>
        <w:t>。在改进交易监控时，利用监管报告的关键步骤，一是把报告中揭示的风险系统纳入内部风险评估，使固有风险和控制措施与外部风险图景对齐；二是依据报告中已披露的犯罪类型，直接构建或完善监控场景，让监控系统覆盖真实威胁。选项B和D正对应这两个直接运用监管报告洞察的步骤。</w:t>
      </w:r>
    </w:p>
    <w:p>
      <w:pPr>
        <w:spacing w:before="120" w:after="40"/>
      </w:pPr>
      <w:r>
        <w:rPr>
          <w:b/>
          <w:sz w:val="21"/>
          <w:shd w:fill="D6E4F0" w:val="clear"/>
        </w:rPr>
        <w:t>教材原句</w:t>
      </w:r>
    </w:p>
    <w:p>
      <w:pPr>
        <w:spacing w:line="360" w:lineRule="auto" w:after="40"/>
        <w:ind w:firstLine="420"/>
      </w:pPr>
      <w:r>
        <w:t>"Institutions should also analyze law enforcement and government risk reports, such as those from the US Treasury and FinCEN, national money laundering risk assessments, and peer discussions to help develop actionable monitoring scenarios."</w:t>
      </w:r>
    </w:p>
    <w:p>
      <w:pPr>
        <w:spacing w:before="120" w:after="40"/>
      </w:pPr>
      <w:r>
        <w:rPr>
          <w:b/>
          <w:sz w:val="21"/>
          <w:shd w:fill="D6E4F0" w:val="clear"/>
        </w:rPr>
        <w:t>A项错误</w:t>
      </w:r>
    </w:p>
    <w:p>
      <w:pPr>
        <w:spacing w:line="360" w:lineRule="auto" w:after="40"/>
        <w:ind w:firstLine="420"/>
      </w:pPr>
      <w:r>
        <w:t>教材将数据来源分为内外部并举例说明（P466-467），但并未将“对报告中提及的所有部门和产品进行内部数据比较”列为利用监管报告改进监控的关键步骤。监管报告的核心价值在于提炼风险类型与犯罪手法，推动场景设计和风险评估，而非驱动泛化的内部数据比对，因此该项的匹配度不如B和D直接。</w:t>
      </w:r>
    </w:p>
    <w:p>
      <w:pPr>
        <w:spacing w:before="120" w:after="40"/>
      </w:pPr>
      <w:r>
        <w:rPr>
          <w:b/>
          <w:sz w:val="21"/>
          <w:shd w:fill="D6E4F0" w:val="clear"/>
        </w:rPr>
        <w:t>C项错误</w:t>
      </w:r>
    </w:p>
    <w:p>
      <w:pPr>
        <w:spacing w:line="360" w:lineRule="auto" w:after="40"/>
        <w:ind w:firstLine="420"/>
      </w:pPr>
      <w:r>
        <w:t>教材在阈值校准部分提到可利用“同行比较”来优化监控规则</w:t>
      </w:r>
      <w:r>
        <w:rPr>
          <w:sz w:val="15"/>
          <w:vertAlign w:val="superscript"/>
        </w:rPr>
        <w:t>P444</w:t>
      </w:r>
      <w:r>
        <w:t>，这属于场景调优的技术手段。但题干聚焦的是如何利用监管报告这一具体输入来改进监控，将报告与同行数据进行比较，不如直接把报告中的风险纳入评估、用犯罪类型构建场景更直接地体现“利用报告”的核心动作。</w:t>
      </w:r>
    </w:p>
    <w:p>
      <w:pPr>
        <w:spacing w:before="120" w:after="40"/>
      </w:pPr>
      <w:r>
        <w:rPr>
          <w:b/>
          <w:sz w:val="21"/>
          <w:shd w:fill="D6E4F0" w:val="clear"/>
        </w:rPr>
        <w:t>易错提醒</w:t>
      </w:r>
    </w:p>
    <w:p>
      <w:pPr>
        <w:spacing w:line="360" w:lineRule="auto" w:after="40"/>
        <w:ind w:firstLine="420"/>
      </w:pPr>
      <w:r>
        <w:t>监管报告提供的风险洞察直接应用于风险评估和监控场景设计；而同行数据比较主要用于阈值校准和参数调优，并非针对监管报告本身的直接运用途径。</w:t>
      </w:r>
    </w:p>
    <w:p>
      <w:pPr>
        <w:spacing w:line="360" w:lineRule="auto" w:after="120"/>
      </w:pPr>
      <w:r/>
    </w:p>
    <w:p>
      <w:pPr>
        <w:spacing w:line="360" w:lineRule="auto" w:after="40"/>
      </w:pPr>
      <w:r>
        <w:t>10. 金融行业在交易监控方面高度依赖基于规则的方法来发现可疑活动.基于场景的系统利用技术和算法来识别:(选择三项.) ( )</w:t>
      </w:r>
    </w:p>
    <w:p>
      <w:pPr>
        <w:spacing w:line="360" w:lineRule="auto" w:after="20"/>
        <w:ind w:firstLine="283"/>
      </w:pPr>
      <w:r>
        <w:t>A. 涉及被盗或伪造身份证明的欺诈性身份。</w:t>
      </w:r>
    </w:p>
    <w:p>
      <w:pPr>
        <w:spacing w:line="360" w:lineRule="auto" w:after="20"/>
        <w:ind w:firstLine="283"/>
      </w:pPr>
      <w:r>
        <w:t>B. 涉及在一天中不寻常时间发生的交易的可疑行为。</w:t>
      </w:r>
    </w:p>
    <w:p>
      <w:pPr>
        <w:spacing w:line="360" w:lineRule="auto" w:after="20"/>
        <w:ind w:firstLine="283"/>
      </w:pPr>
      <w:r>
        <w:t>C. 隐藏的实际受益人。</w:t>
      </w:r>
    </w:p>
    <w:p>
      <w:pPr>
        <w:spacing w:line="360" w:lineRule="auto" w:after="20"/>
        <w:ind w:firstLine="283"/>
      </w:pPr>
      <w:r>
        <w:t>D. 涉及超过一定金额的交易的交易模式。</w:t>
      </w:r>
    </w:p>
    <w:p>
      <w:pPr>
        <w:spacing w:line="360" w:lineRule="auto" w:after="20"/>
        <w:ind w:firstLine="283"/>
      </w:pPr>
      <w:r>
        <w:t>E. 涉及在远离客户通常消费地点发生的交易的异常情况。</w:t>
      </w:r>
    </w:p>
    <w:p>
      <w:pPr>
        <w:spacing w:line="360" w:lineRule="auto" w:after="40"/>
      </w:pPr>
      <w:r>
        <w:t>答案:B、D、E</w:t>
      </w:r>
    </w:p>
    <w:p>
      <w:pPr>
        <w:spacing w:line="360" w:lineRule="auto" w:after="40"/>
      </w:pPr>
      <w:r>
        <w:t>解析：</w:t>
      </w:r>
    </w:p>
    <w:p>
      <w:pPr>
        <w:spacing w:before="120" w:after="40"/>
      </w:pPr>
      <w:r>
        <w:rPr>
          <w:b/>
          <w:sz w:val="21"/>
          <w:shd w:fill="D6E4F0" w:val="clear"/>
        </w:rPr>
        <w:t>考点</w:t>
      </w:r>
    </w:p>
    <w:p>
      <w:pPr>
        <w:spacing w:line="360" w:lineRule="auto" w:after="40"/>
        <w:ind w:firstLine="420"/>
      </w:pPr>
      <w:r>
        <w:t>区分交易监控场景所识别的交易行为特征与身份/所有权风险</w:t>
      </w:r>
    </w:p>
    <w:p>
      <w:pPr>
        <w:spacing w:before="120" w:after="40"/>
      </w:pPr>
      <w:r>
        <w:rPr>
          <w:b/>
          <w:sz w:val="21"/>
          <w:shd w:fill="D6E4F0" w:val="clear"/>
        </w:rPr>
        <w:t>核心解析</w:t>
      </w:r>
    </w:p>
    <w:p>
      <w:pPr>
        <w:spacing w:line="360" w:lineRule="auto" w:after="40"/>
        <w:ind w:firstLine="420"/>
      </w:pPr>
      <w:r>
        <w:t>交易监控系统是帮助金融机构检测可疑交易模式的技术框架</w:t>
      </w:r>
      <w:r>
        <w:rPr>
          <w:sz w:val="15"/>
          <w:vertAlign w:val="superscript"/>
        </w:rPr>
        <w:t>P325</w:t>
      </w:r>
      <w:r>
        <w:t>。监控场景应覆盖可疑交易行为，例如大额现金存款、频繁拆分交易、快速资金转移和跨境交易等</w:t>
      </w:r>
      <w:r>
        <w:rPr>
          <w:sz w:val="15"/>
          <w:vertAlign w:val="superscript"/>
        </w:rPr>
        <w:t>P442</w:t>
      </w:r>
      <w:r>
        <w:t>。基于场景的系统通过规则和算法识别交易中的异常特征。选项B“不寻常时间发生的交易”符合教材对正常营业时间外大额交易可能表明非法活动的警示</w:t>
      </w:r>
      <w:r>
        <w:rPr>
          <w:sz w:val="15"/>
          <w:vertAlign w:val="superscript"/>
        </w:rPr>
        <w:t>P130</w:t>
      </w:r>
      <w:r>
        <w:t>；选项D“超过一定金额的交易模式”直接对应教材中基于金额阈值的简单规则示例</w:t>
      </w:r>
      <w:r>
        <w:rPr>
          <w:sz w:val="15"/>
          <w:vertAlign w:val="superscript"/>
        </w:rPr>
        <w:t>P333</w:t>
      </w:r>
      <w:r>
        <w:t>；选项E“远离客户通常消费地点的交易”匹配教材关于地理定位风险指标——交易涉及远离客户运营区域的机构</w:t>
      </w:r>
      <w:r>
        <w:rPr>
          <w:sz w:val="15"/>
          <w:vertAlign w:val="superscript"/>
        </w:rPr>
        <w:t>P395</w:t>
      </w:r>
      <w:r>
        <w:t>。三者均属于交易监控系统所分析的交易模式与行为异常，因此B、D、E是正确答案。</w:t>
      </w:r>
    </w:p>
    <w:p>
      <w:pPr>
        <w:spacing w:before="120" w:after="40"/>
      </w:pPr>
      <w:r>
        <w:rPr>
          <w:b/>
          <w:sz w:val="21"/>
          <w:shd w:fill="D6E4F0" w:val="clear"/>
        </w:rPr>
        <w:t>教材原句</w:t>
      </w:r>
    </w:p>
    <w:p>
      <w:pPr>
        <w:spacing w:line="360" w:lineRule="auto" w:after="40"/>
        <w:ind w:firstLine="420"/>
      </w:pPr>
      <w:r>
        <w:t>"Monitoring scenarios should also address suspicious transaction behaviors, including large cash deposits, frequent structuring (or "smurfing"), rapid fund movement between accounts, and cross-border transactions to high-risk regions."</w:t>
      </w:r>
    </w:p>
    <w:p>
      <w:pPr>
        <w:spacing w:before="120" w:after="40"/>
      </w:pPr>
      <w:r>
        <w:rPr>
          <w:b/>
          <w:sz w:val="21"/>
          <w:shd w:fill="D6E4F0" w:val="clear"/>
        </w:rPr>
        <w:t>A项错误</w:t>
      </w:r>
    </w:p>
    <w:p>
      <w:pPr>
        <w:spacing w:line="360" w:lineRule="auto" w:after="40"/>
        <w:ind w:firstLine="420"/>
      </w:pPr>
      <w:r>
        <w:t>教材将盗用或伪造身份的风险更多置于远程开户的客户身份验证环节</w:t>
      </w:r>
      <w:r>
        <w:rPr>
          <w:sz w:val="15"/>
          <w:vertAlign w:val="superscript"/>
        </w:rPr>
        <w:t>P63</w:t>
      </w:r>
      <w:r>
        <w:t>，属于客户尽职调查阶段关注的问题，而非交易监控系统直接通过规则识别的交易行为模式。题干要求选取基于场景的系统所识别的对象，选项B、D、E均聚焦交易本身的时间、金额、地点特征，与教材对交易监控场景的定义更吻合。</w:t>
      </w:r>
    </w:p>
    <w:p>
      <w:pPr>
        <w:spacing w:before="120" w:after="40"/>
      </w:pPr>
      <w:r>
        <w:rPr>
          <w:b/>
          <w:sz w:val="21"/>
          <w:shd w:fill="D6E4F0" w:val="clear"/>
        </w:rPr>
        <w:t>C项错误</w:t>
      </w:r>
    </w:p>
    <w:p>
      <w:pPr>
        <w:spacing w:line="360" w:lineRule="auto" w:after="40"/>
        <w:ind w:firstLine="420"/>
      </w:pPr>
      <w:r>
        <w:t>隐藏受益所有人的问题源于复杂所有权结构</w:t>
      </w:r>
      <w:r>
        <w:rPr>
          <w:sz w:val="15"/>
          <w:vertAlign w:val="superscript"/>
        </w:rPr>
        <w:t>P106</w:t>
      </w:r>
      <w:r>
        <w:t>，通常需要在客户尽职调查和受益所有人报告环节加以识别，而不是交易监控系统通过行为规则直接捕获的模式。相比之下，正确项B、D、E反映的都是交易活动中可直接由规则触发的行为特征，与教材对交易监控场景的定位更为匹配。</w:t>
      </w:r>
    </w:p>
    <w:p>
      <w:pPr>
        <w:spacing w:line="360" w:lineRule="auto" w:after="120"/>
      </w:pPr>
      <w:r/>
    </w:p>
    <w:p>
      <w:pPr>
        <w:spacing w:line="360" w:lineRule="auto" w:after="40"/>
      </w:pPr>
      <w:r>
        <w:t>11. 以下哪些业务需要增强或额外的场景来识别异常交易？(选择两项。) ( )</w:t>
      </w:r>
    </w:p>
    <w:p>
      <w:pPr>
        <w:spacing w:line="360" w:lineRule="auto" w:after="20"/>
        <w:ind w:firstLine="283"/>
      </w:pPr>
      <w:r>
        <w:t>A. 从事现金密集型业务且不受许可要求约束的公司</w:t>
      </w:r>
    </w:p>
    <w:p>
      <w:pPr>
        <w:spacing w:line="360" w:lineRule="auto" w:after="20"/>
        <w:ind w:firstLine="283"/>
      </w:pPr>
      <w:r>
        <w:t>B. 经营医院和医疗保健服务的公司</w:t>
      </w:r>
    </w:p>
    <w:p>
      <w:pPr>
        <w:spacing w:line="360" w:lineRule="auto" w:after="20"/>
        <w:ind w:firstLine="283"/>
      </w:pPr>
      <w:r>
        <w:t>C. 从事现金密集型业务且受许可要求约束的公司</w:t>
      </w:r>
    </w:p>
    <w:p>
      <w:pPr>
        <w:spacing w:line="360" w:lineRule="auto" w:after="20"/>
        <w:ind w:firstLine="283"/>
      </w:pPr>
      <w:r>
        <w:t>D. 生产药品和医疗器械的公司、从事矿业的公司</w:t>
      </w:r>
    </w:p>
    <w:p>
      <w:pPr>
        <w:spacing w:line="360" w:lineRule="auto" w:after="20"/>
        <w:ind w:firstLine="283"/>
      </w:pPr>
      <w:r>
        <w:t>E. 在全国范围内经营零售店的公司</w:t>
      </w:r>
    </w:p>
    <w:p>
      <w:pPr>
        <w:spacing w:line="360" w:lineRule="auto" w:after="40"/>
      </w:pPr>
      <w:r>
        <w:t>答案:A、D</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识别需增强交易监控场景的高风险行业类型</w:t>
      </w:r>
    </w:p>
    <w:p>
      <w:pPr>
        <w:spacing w:before="120" w:after="40"/>
      </w:pPr>
      <w:r>
        <w:rPr>
          <w:b/>
          <w:sz w:val="21"/>
          <w:shd w:fill="D6E4F0" w:val="clear"/>
        </w:rPr>
        <w:t>核心解析</w:t>
      </w:r>
    </w:p>
    <w:p>
      <w:pPr>
        <w:spacing w:line="360" w:lineRule="auto" w:after="40"/>
        <w:ind w:firstLine="420"/>
      </w:pPr>
      <w:r>
        <w:t>高风险客户如政治敏感人物、壳公司和高风险司法管辖区实体，需要强化监控和专门警报</w:t>
      </w:r>
      <w:r>
        <w:rPr>
          <w:sz w:val="15"/>
          <w:vertAlign w:val="superscript"/>
        </w:rPr>
        <w:t>P442</w:t>
      </w:r>
      <w:r>
        <w:t>。现金密集型业务因大量现金交易易被用于洗钱</w:t>
      </w:r>
      <w:r>
        <w:rPr>
          <w:sz w:val="15"/>
          <w:vertAlign w:val="superscript"/>
        </w:rPr>
        <w:t>P65</w:t>
      </w:r>
      <w:r>
        <w:t>，若不受许可要求约束则缺乏监管，风险更高。矿业公司、制药公司等行业被明确认定为面临更高金融犯罪风险</w:t>
      </w:r>
      <w:r>
        <w:rPr>
          <w:sz w:val="15"/>
          <w:vertAlign w:val="superscript"/>
        </w:rPr>
        <w:t>P311、P43、P138</w:t>
      </w:r>
      <w:r>
        <w:t>。因此，从事现金密集型业务且不受许可约束的公司（A），以及制药和矿业公司（D），属于需要增强或额外场景来识别异常交易的典型高风险业务。</w:t>
      </w:r>
    </w:p>
    <w:p>
      <w:pPr>
        <w:spacing w:before="120" w:after="40"/>
      </w:pPr>
      <w:r>
        <w:rPr>
          <w:b/>
          <w:sz w:val="21"/>
          <w:shd w:fill="D6E4F0" w:val="clear"/>
        </w:rPr>
        <w:t>教材原句</w:t>
      </w:r>
    </w:p>
    <w:p>
      <w:pPr>
        <w:spacing w:line="360" w:lineRule="auto" w:after="40"/>
        <w:ind w:firstLine="420"/>
      </w:pPr>
      <w:r>
        <w:t>"High-risk customers, such as PEPs, shell companies, and entities operating in high-risk jurisdictions, require enhanced monitoring with specialized alerts."</w:t>
      </w:r>
    </w:p>
    <w:p>
      <w:pPr>
        <w:spacing w:before="120" w:after="40"/>
      </w:pPr>
      <w:r>
        <w:rPr>
          <w:b/>
          <w:sz w:val="21"/>
          <w:shd w:fill="D6E4F0" w:val="clear"/>
        </w:rPr>
        <w:t>B项错误</w:t>
      </w:r>
    </w:p>
    <w:p>
      <w:pPr>
        <w:spacing w:line="360" w:lineRule="auto" w:after="40"/>
        <w:ind w:firstLine="420"/>
      </w:pPr>
      <w:r>
        <w:t>医院和医疗保健服务在教材中未列为需要增强场景的典型高风险行业，相比A和D，与题干所问的高风险业务匹配度更低。</w:t>
      </w:r>
    </w:p>
    <w:p>
      <w:pPr>
        <w:spacing w:before="120" w:after="40"/>
      </w:pPr>
      <w:r>
        <w:rPr>
          <w:b/>
          <w:sz w:val="21"/>
          <w:shd w:fill="D6E4F0" w:val="clear"/>
        </w:rPr>
        <w:t>C项错误</w:t>
      </w:r>
    </w:p>
    <w:p>
      <w:pPr>
        <w:spacing w:line="360" w:lineRule="auto" w:after="40"/>
        <w:ind w:firstLine="420"/>
      </w:pPr>
      <w:r>
        <w:t>受许可要求约束意味着企业已纳入监管，自身风险可控，而题干问的是“需要增强或额外场景”的业务；不受许可约束的现金密集型公司因缺乏监管更需增强监控，因此A比C更直接匹配题干要求。</w:t>
      </w:r>
    </w:p>
    <w:p>
      <w:pPr>
        <w:spacing w:before="120" w:after="40"/>
      </w:pPr>
      <w:r>
        <w:rPr>
          <w:b/>
          <w:sz w:val="21"/>
          <w:shd w:fill="D6E4F0" w:val="clear"/>
        </w:rPr>
        <w:t>E项错误</w:t>
      </w:r>
    </w:p>
    <w:p>
      <w:pPr>
        <w:spacing w:line="360" w:lineRule="auto" w:after="40"/>
        <w:ind w:firstLine="420"/>
      </w:pPr>
      <w:r>
        <w:t>普通全国性零售店不属于教材列举的典型高风险行业，除非涉及高价值商品零售商，但题干未提供此类特征，因此不如A和D那样符合高风险定义。</w:t>
      </w:r>
    </w:p>
    <w:p>
      <w:pPr>
        <w:spacing w:before="120" w:after="40"/>
      </w:pPr>
      <w:r>
        <w:rPr>
          <w:b/>
          <w:sz w:val="21"/>
          <w:shd w:fill="D6E4F0" w:val="clear"/>
        </w:rPr>
        <w:t>易错提醒</w:t>
      </w:r>
    </w:p>
    <w:p>
      <w:pPr>
        <w:spacing w:line="360" w:lineRule="auto" w:after="40"/>
        <w:ind w:firstLine="420"/>
      </w:pPr>
      <w:r>
        <w:t>区分受许可约束与不受许可约束的现金密集型业务：不受许可约束意味着缺乏反洗钱监管，风险更高，更需要增强监控场景；受许可约束的实体通常已有合规义务，增强场景的必要性相对较低。</w:t>
      </w:r>
    </w:p>
    <w:p>
      <w:pPr>
        <w:spacing w:line="360" w:lineRule="auto" w:after="120"/>
      </w:pPr>
      <w:r/>
    </w:p>
    <w:p>
      <w:pPr>
        <w:spacing w:line="360" w:lineRule="auto" w:after="40"/>
      </w:pPr>
      <w:r>
        <w:t>12. 以下哪些潜在可疑活动的指标通常与高风险业务部门和结构(如空壳公司)相关？(选择三项。) ( )</w:t>
      </w:r>
    </w:p>
    <w:p>
      <w:pPr>
        <w:spacing w:line="360" w:lineRule="auto" w:after="20"/>
        <w:ind w:firstLine="283"/>
      </w:pPr>
      <w:r>
        <w:t>A. 知道所涉商品或服务(如已确定)与该公司的情况或金融活动的性质不符</w:t>
      </w:r>
    </w:p>
    <w:p>
      <w:pPr>
        <w:spacing w:line="360" w:lineRule="auto" w:after="20"/>
        <w:ind w:firstLine="283"/>
      </w:pPr>
      <w:r>
        <w:t>B. 所有支付金额均低于报告门槛，但累计起来数额较大，同时仍符合标准商业惯例</w:t>
      </w:r>
    </w:p>
    <w:p>
      <w:pPr>
        <w:spacing w:line="360" w:lineRule="auto" w:after="20"/>
        <w:ind w:firstLine="283"/>
      </w:pPr>
      <w:r>
        <w:t>C. 一家公司经常与长期合作的业务伙伴在中等风险的司法管辖区进行大额交易，并提供完整的文件和审计追踪记录</w:t>
      </w:r>
    </w:p>
    <w:p>
      <w:pPr>
        <w:spacing w:line="360" w:lineRule="auto" w:after="20"/>
        <w:ind w:firstLine="283"/>
      </w:pPr>
      <w:r>
        <w:t>D. 无法通过搜索或直接询问获取足够信息来识别资金转账的发起人或受益人</w:t>
      </w:r>
    </w:p>
    <w:p>
      <w:pPr>
        <w:spacing w:line="360" w:lineRule="auto" w:after="20"/>
        <w:ind w:firstLine="283"/>
      </w:pPr>
      <w:r>
        <w:t>E. 支付款项未注明用途，未提及商品或服务，或者仅提及合同或发票编号</w:t>
      </w:r>
    </w:p>
    <w:p>
      <w:pPr>
        <w:spacing w:line="360" w:lineRule="auto" w:after="40"/>
      </w:pPr>
      <w:r>
        <w:t>答案:A、D、E</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识别与壳公司等高风险结构相关的不透明性与业务不一致性指标</w:t>
      </w:r>
    </w:p>
    <w:p>
      <w:pPr>
        <w:spacing w:before="120" w:after="40"/>
      </w:pPr>
      <w:r>
        <w:rPr>
          <w:b/>
          <w:sz w:val="21"/>
          <w:shd w:fill="D6E4F0" w:val="clear"/>
        </w:rPr>
        <w:t>核心解析</w:t>
      </w:r>
    </w:p>
    <w:p>
      <w:pPr>
        <w:spacing w:line="360" w:lineRule="auto" w:after="40"/>
        <w:ind w:firstLine="420"/>
      </w:pPr>
      <w:r>
        <w:t>与空壳公司这类高风险结构相关的可疑指标，通常指向两个方向：一是信息不透明（无法追溯资金或实体的真实控制人），二是交易活动与客户声称的业务画像不匹配。教材指出，与客户业务画像不符的交易可能表明金融犯罪</w:t>
      </w:r>
      <w:r>
        <w:rPr>
          <w:sz w:val="15"/>
          <w:vertAlign w:val="superscript"/>
        </w:rPr>
        <w:t>P443</w:t>
      </w:r>
      <w:r>
        <w:t>，而电汇中隐瞒信息（如未提供充分的受益人信息）同样是高风险业务部门常见的手法</w:t>
      </w:r>
      <w:r>
        <w:rPr>
          <w:sz w:val="15"/>
          <w:vertAlign w:val="superscript"/>
        </w:rPr>
        <w:t>P79</w:t>
      </w:r>
      <w:r>
        <w:t>。本题中，选项A的商品/服务与公司情况不符，直接吻合“业务画像不匹配”这一判断规则；选项D的无法识别资金转账发起人或受益人，和选项E的支付无明确用途，都是因壳公司刻意掩盖真实交易主体和目的而产生的不透明性表现。壳公司常被用于模糊资金去向，教材也提示涉及潜在壳公司是洗钱风险指标</w:t>
      </w:r>
      <w:r>
        <w:rPr>
          <w:sz w:val="15"/>
          <w:vertAlign w:val="superscript"/>
        </w:rPr>
        <w:t>P99</w:t>
      </w:r>
      <w:r>
        <w:t>，由此可推，信息缺失和用途模糊正是其核心风险特征。</w:t>
      </w:r>
    </w:p>
    <w:p>
      <w:pPr>
        <w:spacing w:before="120" w:after="40"/>
      </w:pPr>
      <w:r>
        <w:rPr>
          <w:b/>
          <w:sz w:val="21"/>
          <w:shd w:fill="D6E4F0" w:val="clear"/>
        </w:rPr>
        <w:t>B项错误</w:t>
      </w:r>
    </w:p>
    <w:p>
      <w:pPr>
        <w:spacing w:line="360" w:lineRule="auto" w:after="40"/>
        <w:ind w:firstLine="420"/>
      </w:pPr>
      <w:r>
        <w:t>选项B描述的是将大额资金拆分为低于报告门槛的小额交易的做法，这更接近“结构化”的定义</w:t>
      </w:r>
      <w:r>
        <w:rPr>
          <w:sz w:val="15"/>
          <w:vertAlign w:val="superscript"/>
        </w:rPr>
        <w:t>P17</w:t>
      </w:r>
      <w:r>
        <w:t>，属于规避报告门槛的常规洗钱手法，并非高风险业务部门或壳公司所特有的指标。题干要求关联的是高风险结构（如空壳公司）本身带来的可疑特征，而结构化的核心在于金额拆分，与业务结构的风险类别的直接匹配度不如A、D、E。</w:t>
      </w:r>
    </w:p>
    <w:p>
      <w:pPr>
        <w:spacing w:before="120" w:after="40"/>
      </w:pPr>
      <w:r>
        <w:rPr>
          <w:b/>
          <w:sz w:val="21"/>
          <w:shd w:fill="D6E4F0" w:val="clear"/>
        </w:rPr>
        <w:t>C项错误</w:t>
      </w:r>
    </w:p>
    <w:p>
      <w:pPr>
        <w:spacing w:line="360" w:lineRule="auto" w:after="40"/>
        <w:ind w:firstLine="420"/>
      </w:pPr>
      <w:r>
        <w:t>选项C描述的交易模式具备长期合作、文件齐全、审计追踪完整等特征，整体表现为透明、有据可查的正常商业行为，这与壳公司等高风险结构典型的“信息不透明”和“刻意掩盖”特征相反。在缺乏任何可疑要素的情况下，该选项更吻合低风险的合规交易画像。</w:t>
      </w:r>
    </w:p>
    <w:p>
      <w:pPr>
        <w:spacing w:before="120" w:after="40"/>
      </w:pPr>
      <w:r>
        <w:rPr>
          <w:b/>
          <w:sz w:val="21"/>
          <w:shd w:fill="D6E4F0" w:val="clear"/>
        </w:rPr>
        <w:t>易错提醒</w:t>
      </w:r>
    </w:p>
    <w:p>
      <w:pPr>
        <w:spacing w:line="360" w:lineRule="auto" w:after="40"/>
        <w:ind w:firstLine="420"/>
      </w:pPr>
      <w:r>
        <w:t>选项B“所有支付金额均低于报告门槛，但累计起来数额较大”是结构化（structuring）的典型描述，它是一种拆分大额资金以躲避报告义务的洗钱技术</w:t>
      </w:r>
      <w:r>
        <w:rPr>
          <w:sz w:val="15"/>
          <w:vertAlign w:val="superscript"/>
        </w:rPr>
        <w:t>P17</w:t>
      </w:r>
      <w:r>
        <w:t>，可适用于各类客户，不是壳公司特有的风险指标。而选项E“支付款项未注明用途”指向实体刻意掩盖交易真实目的，更直接关联壳公司常被用于遮掩最终受益所有人和资金用途的特性</w:t>
      </w:r>
      <w:r>
        <w:rPr>
          <w:sz w:val="15"/>
          <w:vertAlign w:val="superscript"/>
        </w:rPr>
        <w:t>P99</w:t>
      </w:r>
      <w:r>
        <w:t>。二者核心区分在于：B描述的是金额拆分手法，E描述的是信息缺失，后者的不透明性与壳公司的关联更强。</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