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CH16</w:t>
      </w:r>
    </w:p>
    <w:p>
      <w:pPr>
        <w:spacing w:line="360" w:lineRule="auto" w:after="160"/>
      </w:pPr>
      <w:r>
        <w:t>一、单项选择题</w:t>
      </w:r>
    </w:p>
    <w:p>
      <w:pPr>
        <w:spacing w:line="360" w:lineRule="auto" w:after="40"/>
      </w:pPr>
      <w:r>
        <w:t>1. 在将新技术应用于反洗钱(AML)时,应用程序编程接口(API)能够实现: ( )</w:t>
      </w:r>
    </w:p>
    <w:p>
      <w:pPr>
        <w:spacing w:line="360" w:lineRule="auto" w:after="20"/>
        <w:ind w:firstLine="283"/>
      </w:pPr>
      <w:r>
        <w:t>A. 移动设备上的数字身份识别</w:t>
      </w:r>
    </w:p>
    <w:p>
      <w:pPr>
        <w:spacing w:line="360" w:lineRule="auto" w:after="20"/>
        <w:ind w:firstLine="283"/>
      </w:pPr>
      <w:r>
        <w:t>B. 不同的应用程序用于连接和通信</w:t>
      </w:r>
    </w:p>
    <w:p>
      <w:pPr>
        <w:spacing w:line="360" w:lineRule="auto" w:after="20"/>
        <w:ind w:firstLine="283"/>
      </w:pPr>
      <w:r>
        <w:t>C. 通过人工智能(AI)和生物识别技术进行身份验证</w:t>
      </w:r>
    </w:p>
    <w:p>
      <w:pPr>
        <w:spacing w:line="360" w:lineRule="auto" w:after="20"/>
        <w:ind w:firstLine="283"/>
      </w:pPr>
      <w:r>
        <w:t>D. 在客户入职期间快速进行客户细分和客户特征分析</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区分API的核心连接功能与以API为支撑的上层应用功能</w:t>
      </w:r>
    </w:p>
    <w:p>
      <w:pPr>
        <w:spacing w:before="120" w:after="40"/>
      </w:pPr>
      <w:r>
        <w:rPr>
          <w:b/>
          <w:sz w:val="21"/>
          <w:shd w:fill="D6E4F0" w:val="clear"/>
        </w:rPr>
        <w:t>核心解析</w:t>
      </w:r>
    </w:p>
    <w:p>
      <w:pPr>
        <w:spacing w:line="360" w:lineRule="auto" w:after="40"/>
        <w:ind w:firstLine="420"/>
      </w:pPr>
      <w:r>
        <w:t>API的核心定义是支持不同应用程序之间的连接与通信，实现自动数据检索而无需人工干预</w:t>
      </w:r>
      <w:r>
        <w:rPr>
          <w:sz w:val="15"/>
          <w:vertAlign w:val="superscript"/>
        </w:rPr>
        <w:t>P480</w:t>
      </w:r>
      <w:r>
        <w:t>。教材明确指出，API能够从数据库、云服务或第三方应用等来源自动检索数据</w:t>
      </w:r>
      <w:r>
        <w:rPr>
          <w:sz w:val="15"/>
          <w:vertAlign w:val="superscript"/>
        </w:rPr>
        <w:t>P480</w:t>
      </w:r>
      <w:r>
        <w:t>，其收集方法包括API调用</w:t>
      </w:r>
      <w:r>
        <w:rPr>
          <w:sz w:val="15"/>
          <w:vertAlign w:val="superscript"/>
        </w:rPr>
        <w:t>P476</w:t>
      </w:r>
      <w:r>
        <w:t>，并强调筛查系统应具备API集成能力以实现与其他系统的兼容</w:t>
      </w:r>
      <w:r>
        <w:rPr>
          <w:sz w:val="15"/>
          <w:vertAlign w:val="superscript"/>
        </w:rPr>
        <w:t>P424</w:t>
      </w:r>
      <w:r>
        <w:t>。题干问的是API“本身”能够实现什么——这指向API最基础、最底层的功能：让不同的应用程序相互连接并交换数据。选项B“不同的应用程序用于连接和通信”直接吻合这一定义。相比之下，A、C、D描述的都是金融犯罪合规场景中“基于API所实现的上层业务功能”——API负责在底层把数据从A系统传给B系统，但人类身份验证、客户细分、风险特征分析这些具体业务逻辑，是由调用API的上层应用程序完成的，而非API本身的功能。</w:t>
      </w:r>
    </w:p>
    <w:p>
      <w:pPr>
        <w:spacing w:before="120" w:after="40"/>
      </w:pPr>
      <w:r>
        <w:rPr>
          <w:b/>
          <w:sz w:val="21"/>
          <w:shd w:fill="D6E4F0" w:val="clear"/>
        </w:rPr>
        <w:t>教材原句</w:t>
      </w:r>
    </w:p>
    <w:p>
      <w:pPr>
        <w:spacing w:line="360" w:lineRule="auto" w:after="40"/>
        <w:ind w:firstLine="420"/>
      </w:pPr>
      <w:r>
        <w:t>"API enables automated retrieval of data from various sources, such as databases, cloud services, or third-party applications, without manual intervention."</w:t>
      </w:r>
    </w:p>
    <w:p>
      <w:pPr>
        <w:spacing w:before="120" w:after="40"/>
      </w:pPr>
      <w:r>
        <w:rPr>
          <w:b/>
          <w:sz w:val="21"/>
          <w:shd w:fill="D6E4F0" w:val="clear"/>
        </w:rPr>
        <w:t>A项错误</w:t>
      </w:r>
    </w:p>
    <w:p>
      <w:pPr>
        <w:spacing w:line="360" w:lineRule="auto" w:after="40"/>
        <w:ind w:firstLine="420"/>
      </w:pPr>
      <w:r>
        <w:t>选项A描述的是移动设备上的数字身份识别，教材在讨论数字身份时将其定位为KYC和准入流程中的验证手段</w:t>
      </w:r>
      <w:r>
        <w:rPr>
          <w:sz w:val="15"/>
          <w:vertAlign w:val="superscript"/>
        </w:rPr>
        <w:t>P374、P408</w:t>
      </w:r>
      <w:r>
        <w:t>，这一功能的实现可能依赖API在底层传输数据，但其本身属于上层验证业务，不如选项B更直接匹配API作为连接层的核心定义。</w:t>
      </w:r>
    </w:p>
    <w:p>
      <w:pPr>
        <w:spacing w:before="120" w:after="40"/>
      </w:pPr>
      <w:r>
        <w:rPr>
          <w:b/>
          <w:sz w:val="21"/>
          <w:shd w:fill="D6E4F0" w:val="clear"/>
        </w:rPr>
        <w:t>C项错误</w:t>
      </w:r>
    </w:p>
    <w:p>
      <w:pPr>
        <w:spacing w:line="360" w:lineRule="auto" w:after="40"/>
        <w:ind w:firstLine="420"/>
      </w:pPr>
      <w:r>
        <w:t>教材确将AI与生物识别列入金融机构用于KYC流程的技术手段</w:t>
      </w:r>
      <w:r>
        <w:rPr>
          <w:sz w:val="15"/>
          <w:vertAlign w:val="superscript"/>
        </w:rPr>
        <w:t>P374、P408</w:t>
      </w:r>
      <w:r>
        <w:t>，但这两者是通过算法完成身份核验的具体工具，API是它们获取数据所需的底层连接通道。教材对API的定义聚焦于连接与通信</w:t>
      </w:r>
      <w:r>
        <w:rPr>
          <w:sz w:val="15"/>
          <w:vertAlign w:val="superscript"/>
        </w:rPr>
        <w:t>P480</w:t>
      </w:r>
      <w:r>
        <w:t>，而非生物识别身份验证本身，题干条件更直接指向B而非C。</w:t>
      </w:r>
    </w:p>
    <w:p>
      <w:pPr>
        <w:spacing w:before="120" w:after="40"/>
      </w:pPr>
      <w:r>
        <w:rPr>
          <w:b/>
          <w:sz w:val="21"/>
          <w:shd w:fill="D6E4F0" w:val="clear"/>
        </w:rPr>
        <w:t>D项错误</w:t>
      </w:r>
    </w:p>
    <w:p>
      <w:pPr>
        <w:spacing w:line="360" w:lineRule="auto" w:after="40"/>
        <w:ind w:firstLine="420"/>
      </w:pPr>
      <w:r>
        <w:t>题干未提及API与客户细分或特征分析之间有教材定义层的直接对应关系。教材将客户准入期间的尽职调查描述为包含KYC、身份验证、筛查和风险评估的流程</w:t>
      </w:r>
      <w:r>
        <w:rPr>
          <w:sz w:val="15"/>
          <w:vertAlign w:val="superscript"/>
        </w:rPr>
        <w:t>P374</w:t>
      </w:r>
      <w:r>
        <w:t>，这些是上层业务环节，可能调用API获取数据，但API本身不直接“实现”客户细分这一业务逻辑。</w:t>
      </w:r>
    </w:p>
    <w:p>
      <w:pPr>
        <w:spacing w:before="120" w:after="40"/>
      </w:pPr>
      <w:r>
        <w:rPr>
          <w:b/>
          <w:sz w:val="21"/>
          <w:shd w:fill="D6E4F0" w:val="clear"/>
        </w:rPr>
        <w:t>易错提醒</w:t>
      </w:r>
    </w:p>
    <w:p>
      <w:pPr>
        <w:spacing w:line="360" w:lineRule="auto" w:after="40"/>
        <w:ind w:firstLine="420"/>
      </w:pPr>
      <w:r>
        <w:t>API是底层技术（负责连接和数据传输），而数字身份识别、AI生物识别验证、客户细分是上层业务功能（通过API获取数据后，由具体应用程序完成）。考题常把“依赖API的上层功能”包装成“API本身的功能”来制造干扰。判断关键是问自己：这个选项描述的是“让系统之间传数据”还是“传完数据之后拿数据做了什么”？前者是API，后者不是。</w:t>
      </w:r>
    </w:p>
    <w:p>
      <w:pPr>
        <w:spacing w:line="360" w:lineRule="auto" w:after="120"/>
      </w:pPr>
      <w:r/>
    </w:p>
    <w:p>
      <w:pPr>
        <w:spacing w:line="360" w:lineRule="auto" w:after="40"/>
      </w:pPr>
      <w:r>
        <w:t>2. 使用人工智能(AI)与传统基于规则的交易监控相结合或替代其进行交易监控的优势包括:(选择两项.) ( )</w:t>
      </w:r>
    </w:p>
    <w:p>
      <w:pPr>
        <w:spacing w:line="360" w:lineRule="auto" w:after="20"/>
        <w:ind w:firstLine="283"/>
      </w:pPr>
      <w:r>
        <w:t>A. 增加误报警报的数量</w:t>
      </w:r>
    </w:p>
    <w:p>
      <w:pPr>
        <w:spacing w:line="360" w:lineRule="auto" w:after="20"/>
        <w:ind w:firstLine="283"/>
      </w:pPr>
      <w:r>
        <w:t>B. 在机器训练阶段创建无偏场景</w:t>
      </w:r>
    </w:p>
    <w:p>
      <w:pPr>
        <w:spacing w:line="360" w:lineRule="auto" w:after="20"/>
        <w:ind w:firstLine="283"/>
      </w:pPr>
      <w:r>
        <w:t>C. 识别客户行为的变化,以更准确地评估风险</w:t>
      </w:r>
    </w:p>
    <w:p>
      <w:pPr>
        <w:spacing w:line="360" w:lineRule="auto" w:after="20"/>
        <w:ind w:firstLine="283"/>
      </w:pPr>
      <w:r>
        <w:t>D. 生成客户风险评分以预测潜在的金融犯罪活动</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AI交易监控相对传统规则系统的动态分析与预测优势</w:t>
      </w:r>
    </w:p>
    <w:p>
      <w:pPr>
        <w:spacing w:before="120" w:after="40"/>
      </w:pPr>
      <w:r>
        <w:rPr>
          <w:b/>
          <w:sz w:val="21"/>
          <w:shd w:fill="D6E4F0" w:val="clear"/>
        </w:rPr>
        <w:t>核心解析</w:t>
      </w:r>
    </w:p>
    <w:p>
      <w:pPr>
        <w:spacing w:line="360" w:lineRule="auto" w:after="40"/>
        <w:ind w:firstLine="420"/>
      </w:pPr>
      <w:r>
        <w:t>教材指出，AI驱动的交易监控能从静态规则演进到分析客户行为与上下文，通过比较当前交易与历史模式、同行活动及外部数据集来识别异常</w:t>
      </w:r>
      <w:r>
        <w:rPr>
          <w:sz w:val="15"/>
          <w:vertAlign w:val="superscript"/>
        </w:rPr>
        <w:t>P439</w:t>
      </w:r>
      <w:r>
        <w:t>。同时，AI可基于交易异常、历史行为和外部风险指标计算客户风险评分，生成如平均交易规模等属性，进而预测潜在的金融犯罪活动</w:t>
      </w:r>
      <w:r>
        <w:rPr>
          <w:sz w:val="15"/>
          <w:vertAlign w:val="superscript"/>
        </w:rPr>
        <w:t>P478</w:t>
      </w:r>
      <w:r>
        <w:t>。题干问AI相比传统规则监控的优势，选项C“识别客户行为的变化以更准确评估风险”直接对应动态行为分析能力，选项D“生成客户风险评分以预测潜在金融犯罪活动”对应风险评分与预测功能。二者在教材中均有直接证据，且集中体现了AI超越传统静态规则的预测性优势。</w:t>
      </w:r>
    </w:p>
    <w:p>
      <w:pPr>
        <w:spacing w:before="120" w:after="40"/>
      </w:pPr>
      <w:r>
        <w:rPr>
          <w:b/>
          <w:sz w:val="21"/>
          <w:shd w:fill="D6E4F0" w:val="clear"/>
        </w:rPr>
        <w:t>教材原句</w:t>
      </w:r>
    </w:p>
    <w:p>
      <w:pPr>
        <w:spacing w:line="360" w:lineRule="auto" w:after="40"/>
        <w:ind w:firstLine="420"/>
      </w:pPr>
      <w:r>
        <w:t>"Magnify Bank calculates the customer risk scores based on transaction anomalies, historical behaviors, and external risk indicators."</w:t>
      </w:r>
    </w:p>
    <w:p>
      <w:pPr>
        <w:spacing w:before="120" w:after="40"/>
      </w:pPr>
      <w:r>
        <w:rPr>
          <w:b/>
          <w:sz w:val="21"/>
          <w:shd w:fill="D6E4F0" w:val="clear"/>
        </w:rPr>
        <w:t>A项错误</w:t>
      </w:r>
    </w:p>
    <w:p>
      <w:pPr>
        <w:spacing w:line="360" w:lineRule="auto" w:after="40"/>
        <w:ind w:firstLine="420"/>
      </w:pPr>
      <w:r>
        <w:t>教材反复强调AI通过机器学习与模糊逻辑减少误报</w:t>
      </w:r>
      <w:r>
        <w:rPr>
          <w:sz w:val="15"/>
          <w:vertAlign w:val="superscript"/>
        </w:rPr>
        <w:t>P432、P426、P427</w:t>
      </w:r>
      <w:r>
        <w:t>，与其优势方向相反，题干更支持AI降低而非增加误报。</w:t>
      </w:r>
    </w:p>
    <w:p>
      <w:pPr>
        <w:spacing w:before="120" w:after="40"/>
      </w:pPr>
      <w:r>
        <w:rPr>
          <w:b/>
          <w:sz w:val="21"/>
          <w:shd w:fill="D6E4F0" w:val="clear"/>
        </w:rPr>
        <w:t>B项错误</w:t>
      </w:r>
    </w:p>
    <w:p>
      <w:pPr>
        <w:spacing w:line="360" w:lineRule="auto" w:after="40"/>
        <w:ind w:firstLine="420"/>
      </w:pPr>
      <w:r>
        <w:t>教材要求AI模型无偏，但这依赖治理委员会监督与数据集设计</w:t>
      </w:r>
      <w:r>
        <w:rPr>
          <w:sz w:val="15"/>
          <w:vertAlign w:val="superscript"/>
        </w:rPr>
        <w:t>P449</w:t>
      </w:r>
      <w:r>
        <w:t>，训练阶段本身并不能自动创建无偏场景，若数据集有偏差反而会引入统计偏差</w:t>
      </w:r>
      <w:r>
        <w:rPr>
          <w:sz w:val="15"/>
          <w:vertAlign w:val="superscript"/>
        </w:rPr>
        <w:t>P448</w:t>
      </w:r>
      <w:r>
        <w:t>。题干条件更匹配C、D所述的实际分析产出，而非B的理想化目标。</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