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15e58ce0227bf7828c6c22b882423d5b908b4f"/>
      <w:r>
        <w:t xml:space="preserve">中文版CAMS真题（V6考纲）-137-导出题目-2026-06-25-10-36-01</w:t>
      </w:r>
      <w:bookmarkEnd w:id="20"/>
    </w:p>
    <w:p>
      <w:pPr>
        <w:pStyle w:val="FirstParagraph"/>
      </w:pPr>
      <w:r>
        <w:t xml:space="preserve">1.欧盟关于洗钱的第一个指令的关键方面是什么?</w:t>
      </w:r>
    </w:p>
    <w:p>
      <w:pPr>
        <w:pStyle w:val="BodyText"/>
      </w:pPr>
      <w:r>
        <w:t xml:space="preserve">A.它将范围扩大到与毒品有关的犯罪之外</w:t>
      </w:r>
    </w:p>
    <w:p>
      <w:pPr>
        <w:pStyle w:val="BodyText"/>
      </w:pPr>
      <w:r>
        <w:t xml:space="preserve">B.它将贩毒确定为洗钱的前提罪行</w:t>
      </w:r>
    </w:p>
    <w:p>
      <w:pPr>
        <w:pStyle w:val="BodyText"/>
      </w:pPr>
      <w:r>
        <w:t xml:space="preserve">C.它将犯罪活动的定义扩大到所有严重犯罪</w:t>
      </w:r>
    </w:p>
    <w:p>
      <w:pPr>
        <w:pStyle w:val="BodyText"/>
      </w:pPr>
      <w:r>
        <w:t xml:space="preserve">D.它将洗钱定义为一种单独的犯罪</w:t>
      </w:r>
    </w:p>
    <w:p>
      <w:pPr>
        <w:pStyle w:val="BodyText"/>
      </w:pPr>
      <w:r>
        <w:t xml:space="preserve">答案:B</w:t>
      </w:r>
    </w:p>
    <w:p>
      <w:pPr>
        <w:pStyle w:val="BodyText"/>
      </w:pPr>
      <w:r>
        <w:t xml:space="preserve">解析:</w:t>
      </w:r>
      <w:r>
        <w:rPr>
          <w:b/>
        </w:rPr>
        <w:t xml:space="preserve">具体知识点:</w:t>
      </w:r>
    </w:p>
    <w:p>
      <w:pPr>
        <w:pStyle w:val="BodyText"/>
      </w:pPr>
      <w:r>
        <w:t xml:space="preserve">第1号指令</w:t>
      </w:r>
    </w:p>
    <w:p>
      <w:pPr>
        <w:pStyle w:val="BodyText"/>
      </w:pPr>
      <w:r>
        <w:rPr>
          <w:b/>
        </w:rPr>
        <w:t xml:space="preserve">1991年6月，欧洲共同体理事会通过了《欧洲议会和理事会关于防止利用金融系统进行洗钱》（第</w:t>
      </w:r>
      <w:r>
        <w:rPr>
          <w:b/>
        </w:rPr>
        <w:t xml:space="preserve"> </w:t>
      </w:r>
      <w:r>
        <w:rPr>
          <w:b/>
        </w:rPr>
        <w:t xml:space="preserve">91/308/EEC 号指令），这也是欧盟的第1号反洗钱指令。</w:t>
      </w:r>
    </w:p>
    <w:p>
      <w:pPr>
        <w:pStyle w:val="BodyText"/>
      </w:pPr>
      <w:r>
        <w:rPr>
          <w:b/>
        </w:rPr>
        <w:t xml:space="preserve">选项分析:</w:t>
      </w:r>
    </w:p>
    <w:p>
      <w:pPr>
        <w:pStyle w:val="BodyText"/>
      </w:pPr>
      <w:r>
        <w:t xml:space="preserve">A选项错误，将范围扩大到与毒品有关的犯罪之外是第2个欧盟指令</w:t>
      </w:r>
    </w:p>
    <w:p>
      <w:pPr>
        <w:pStyle w:val="BodyText"/>
      </w:pPr>
      <w:r>
        <w:t xml:space="preserve">B选项正确，</w:t>
      </w:r>
      <w:r>
        <w:rPr>
          <w:b/>
        </w:rPr>
        <w:t xml:space="preserve">将毒品贩运确立为洗钱的前提罪行是第1个欧盟指令</w:t>
      </w:r>
      <w:r>
        <w:rPr>
          <w:b/>
        </w:rPr>
        <w:t xml:space="preserve"> </w:t>
      </w:r>
      <w:r>
        <w:rPr>
          <w:b/>
        </w:rPr>
        <w:t xml:space="preserve">。</w:t>
      </w:r>
    </w:p>
    <w:p>
      <w:pPr>
        <w:pStyle w:val="BodyText"/>
      </w:pPr>
      <w:r>
        <w:t xml:space="preserve">C.选项错误，将犯罪活动的定义扩大到所有严重犯罪是第2个欧盟指令。</w:t>
      </w:r>
    </w:p>
    <w:p>
      <w:pPr>
        <w:pStyle w:val="BodyText"/>
      </w:pPr>
      <w:r>
        <w:t xml:space="preserve">D选项错误，将洗钱定义为一种单独的犯罪是第3个欧盟指令。</w:t>
      </w:r>
    </w:p>
    <w:p>
      <w:pPr>
        <w:pStyle w:val="BodyText"/>
      </w:pPr>
      <w:r>
        <w:t xml:space="preserve">2.(多选题)下列哪两项关于欧盟洗钱指令的陈述是真的?(选两个答案)</w:t>
      </w:r>
    </w:p>
    <w:p>
      <w:pPr>
        <w:pStyle w:val="BodyText"/>
      </w:pPr>
      <w:r>
        <w:t xml:space="preserve">A.适用于欧盟成员国</w:t>
      </w:r>
    </w:p>
    <w:p>
      <w:pPr>
        <w:pStyle w:val="BodyText"/>
      </w:pPr>
      <w:r>
        <w:t xml:space="preserve">B.要求成员国立法遵守指令</w:t>
      </w:r>
    </w:p>
    <w:p>
      <w:pPr>
        <w:pStyle w:val="BodyText"/>
      </w:pPr>
      <w:r>
        <w:t xml:space="preserve">C.在成员国内对金融机构制定非强制性最佳行为</w:t>
      </w:r>
    </w:p>
    <w:p>
      <w:pPr>
        <w:pStyle w:val="BodyText"/>
      </w:pPr>
      <w:r>
        <w:t xml:space="preserve">D.对于与成员国家有外交关系的国家有治外法权</w:t>
      </w:r>
    </w:p>
    <w:p>
      <w:pPr>
        <w:pStyle w:val="BodyText"/>
      </w:pPr>
      <w:r>
        <w:t xml:space="preserve">答案:A B</w:t>
      </w:r>
    </w:p>
    <w:p>
      <w:pPr>
        <w:pStyle w:val="BodyText"/>
      </w:pPr>
      <w:r>
        <w:t xml:space="preserve">解析:</w:t>
      </w:r>
      <w:r>
        <w:rPr>
          <w:b/>
        </w:rPr>
        <w:t xml:space="preserve">具体知识点:</w:t>
      </w:r>
    </w:p>
    <w:p>
      <w:pPr>
        <w:pStyle w:val="BodyText"/>
      </w:pPr>
      <w:r>
        <w:t xml:space="preserve">第1号指令</w:t>
      </w:r>
    </w:p>
    <w:p>
      <w:pPr>
        <w:pStyle w:val="BodyText"/>
      </w:pPr>
      <w:r>
        <w:t xml:space="preserve">欧盟作为"国家共同体"的独特性使其与其他国际组织存在本质区别。欧盟可制定具有法律效力的措施，甚至无须获得各成员国议会的批准。此外，</w:t>
      </w:r>
      <w:r>
        <w:rPr>
          <w:b/>
        </w:rPr>
        <w:t xml:space="preserve">欧盟指令的法律效力优于各成员国的国内法律</w:t>
      </w:r>
      <w:r>
        <w:t xml:space="preserve">。在这一点上，欧盟指令比由巴塞尔委员会或金融行动特别工作组等组织发布的自愿性标准更具分量。当然，</w:t>
      </w:r>
      <w:r>
        <w:rPr>
          <w:b/>
        </w:rPr>
        <w:t xml:space="preserve">欧盟指令仅适用于欧盟成员国，不适用于其他国家。</w:t>
      </w:r>
    </w:p>
    <w:p>
      <w:pPr>
        <w:pStyle w:val="BodyText"/>
      </w:pPr>
      <w:r>
        <w:rPr>
          <w:b/>
        </w:rPr>
        <w:t xml:space="preserve">选项分析:</w:t>
      </w:r>
    </w:p>
    <w:p>
      <w:pPr>
        <w:pStyle w:val="BodyText"/>
      </w:pPr>
      <w:r>
        <w:t xml:space="preserve">C选项错误，指令具有强制约束力（如客户尽调、可疑交易报告等核心要求），非"非强制性最佳行为"。</w:t>
      </w:r>
    </w:p>
    <w:p>
      <w:pPr>
        <w:pStyle w:val="BodyText"/>
      </w:pPr>
      <w:r>
        <w:t xml:space="preserve">D选项错误，欧盟指令仅约束成员国管辖范围内的实体，无治外法权（域外适用需通过国际协议）。</w:t>
      </w:r>
    </w:p>
    <w:p>
      <w:pPr>
        <w:pStyle w:val="BodyText"/>
      </w:pPr>
      <w:r>
        <w:t xml:space="preserve">3.(多选题)下列哪三个洗钱定义包括在欧盟第二指令扩大定义中?选三个答案（选洗钱的三个明知的概念）</w:t>
      </w:r>
    </w:p>
    <w:p>
      <w:pPr>
        <w:pStyle w:val="BodyText"/>
      </w:pPr>
      <w:r>
        <w:t xml:space="preserve">A.掩盖所有者身份创建空壳公司</w:t>
      </w:r>
    </w:p>
    <w:p>
      <w:pPr>
        <w:pStyle w:val="BodyText"/>
      </w:pPr>
      <w:r>
        <w:t xml:space="preserve">B.明知资产来自于犯罪活动仍进行转换和转移</w:t>
      </w:r>
    </w:p>
    <w:p>
      <w:pPr>
        <w:pStyle w:val="BodyText"/>
      </w:pPr>
      <w:r>
        <w:t xml:space="preserve">C.当收到财产，明知其来源于犯罪活动而获取或使用财产</w:t>
      </w:r>
    </w:p>
    <w:p>
      <w:pPr>
        <w:pStyle w:val="BodyText"/>
      </w:pPr>
      <w:r>
        <w:t xml:space="preserve">D.无论现金是否来自于犯罪活动，跨国转移超过15000欧元</w:t>
      </w:r>
    </w:p>
    <w:p>
      <w:pPr>
        <w:pStyle w:val="BodyText"/>
      </w:pPr>
      <w:r>
        <w:t xml:space="preserve">E.明知资产来自于犯罪活动，仍隐匿，隐藏资产的性质，来源，位置，处置，移动，权利和所有权</w:t>
      </w:r>
    </w:p>
    <w:p>
      <w:pPr>
        <w:pStyle w:val="BodyText"/>
      </w:pPr>
      <w:r>
        <w:t xml:space="preserve">答案:B C E</w:t>
      </w:r>
    </w:p>
    <w:p>
      <w:pPr>
        <w:pStyle w:val="BodyText"/>
      </w:pPr>
      <w:r>
        <w:t xml:space="preserve">解析:</w:t>
      </w:r>
      <w:r>
        <w:rPr>
          <w:b/>
        </w:rPr>
        <w:t xml:space="preserve">具体知识点:</w:t>
      </w:r>
    </w:p>
    <w:p>
      <w:pPr>
        <w:pStyle w:val="BodyText"/>
      </w:pPr>
      <w:r>
        <w:t xml:space="preserve">第2号指令</w:t>
      </w:r>
    </w:p>
    <w:p>
      <w:pPr>
        <w:pStyle w:val="BodyText"/>
      </w:pPr>
      <w:r>
        <w:t xml:space="preserve">根据欧盟第2号指令，"以下行为如果是故意实施的，应视为洗钱行为:</w:t>
      </w:r>
    </w:p>
    <w:p>
      <w:pPr>
        <w:pStyle w:val="BodyText"/>
      </w:pPr>
      <w:r>
        <w:rPr>
          <w:b/>
        </w:rPr>
        <w:t xml:space="preserve">• </w:t>
      </w:r>
      <w:r>
        <w:rPr>
          <w:b/>
        </w:rPr>
        <w:t xml:space="preserve">明知财产来自犯罪活动或参与犯罪活动的行为，但为了隐瞒或掩饰财产的非法来源，或为了协助参与犯罪活动的任何人逃避其行为的法律后果，而转换或转让财产;</w:t>
      </w:r>
    </w:p>
    <w:p>
      <w:pPr>
        <w:pStyle w:val="BodyText"/>
      </w:pPr>
      <w:r>
        <w:rPr>
          <w:b/>
        </w:rPr>
        <w:t xml:space="preserve">• </w:t>
      </w:r>
      <w:r>
        <w:rPr>
          <w:b/>
        </w:rPr>
        <w:t xml:space="preserve">隐瞒或掩饰财产的真实性质、来源、位置、处置、流动、权利或所有权，知道这些财产来自犯罪活动或参与此类活动的行为;</w:t>
      </w:r>
    </w:p>
    <w:p>
      <w:pPr>
        <w:pStyle w:val="BodyText"/>
      </w:pPr>
      <w:r>
        <w:rPr>
          <w:b/>
        </w:rPr>
        <w:t xml:space="preserve">•</w:t>
      </w:r>
      <w:r>
        <w:rPr>
          <w:b/>
        </w:rPr>
        <w:t xml:space="preserve"> </w:t>
      </w:r>
      <w:r>
        <w:rPr>
          <w:b/>
        </w:rPr>
        <w:t xml:space="preserve">获得、拥有或使用财产，在接收时知道这些财产来自犯罪活动或参与此类活动的行为;</w:t>
      </w:r>
    </w:p>
    <w:p>
      <w:pPr>
        <w:pStyle w:val="BodyText"/>
      </w:pPr>
      <w:r>
        <w:t xml:space="preserve">参与、联合实施、企图实施以及协助、教唆、便利和参谋实施以上三点中提到的任何行动。"</w:t>
      </w:r>
    </w:p>
    <w:p>
      <w:pPr>
        <w:pStyle w:val="BodyText"/>
      </w:pPr>
      <w:r>
        <w:rPr>
          <w:b/>
        </w:rPr>
        <w:t xml:space="preserve">选项分析:</w:t>
      </w:r>
    </w:p>
    <w:p>
      <w:pPr>
        <w:pStyle w:val="BodyText"/>
      </w:pPr>
      <w:r>
        <w:t xml:space="preserve">A选项错误，属于洗钱手段而非定义要件 ，归为"隐匿方法"（第7条）。</w:t>
      </w:r>
    </w:p>
    <w:p>
      <w:pPr>
        <w:pStyle w:val="BodyText"/>
      </w:pPr>
      <w:r>
        <w:t xml:space="preserve">D选项错误，属现金管控要求，如欧盟第1889/2005号条例。</w:t>
      </w:r>
    </w:p>
    <w:p>
      <w:pPr>
        <w:pStyle w:val="BodyText"/>
      </w:pPr>
      <w:r>
        <w:t xml:space="preserve">4.(多选题)欧盟第四个反洗钱指令的发布导致成员国的程序发生了什么变化?(选择两个)</w:t>
      </w:r>
    </w:p>
    <w:p>
      <w:pPr>
        <w:pStyle w:val="BodyText"/>
      </w:pPr>
      <w:r>
        <w:t xml:space="preserve">A.可以从客观事实情况推断出对犯罪行为的了解</w:t>
      </w:r>
    </w:p>
    <w:p>
      <w:pPr>
        <w:pStyle w:val="BodyText"/>
      </w:pPr>
      <w:r>
        <w:t xml:space="preserve">B.洗钱和资助恐怖主义被定义为独立的罪行，扩大了指令的措施</w:t>
      </w:r>
    </w:p>
    <w:p>
      <w:pPr>
        <w:pStyle w:val="BodyText"/>
      </w:pPr>
      <w:r>
        <w:t xml:space="preserve">C.报告可疑交易的门槛从15,000欧元降至10,000欧元</w:t>
      </w:r>
    </w:p>
    <w:p>
      <w:pPr>
        <w:pStyle w:val="BodyText"/>
      </w:pPr>
      <w:r>
        <w:t xml:space="preserve">D.义务实体的范围从赌场扩大到所有赌博服务的提供者</w:t>
      </w:r>
    </w:p>
    <w:p>
      <w:pPr>
        <w:pStyle w:val="BodyText"/>
      </w:pPr>
      <w:r>
        <w:t xml:space="preserve">E.所有金融机构都被要求识别和核实法律实体的受益人</w:t>
      </w:r>
    </w:p>
    <w:p>
      <w:pPr>
        <w:pStyle w:val="BodyText"/>
      </w:pPr>
      <w:r>
        <w:t xml:space="preserve">答案:C D</w:t>
      </w:r>
    </w:p>
    <w:p>
      <w:pPr>
        <w:pStyle w:val="BodyText"/>
      </w:pPr>
      <w:r>
        <w:t xml:space="preserve">解析:</w:t>
      </w:r>
      <w:r>
        <w:rPr>
          <w:b/>
        </w:rPr>
        <w:t xml:space="preserve">具体知识点:</w:t>
      </w:r>
    </w:p>
    <w:p>
      <w:pPr>
        <w:pStyle w:val="BodyText"/>
      </w:pPr>
      <w:r>
        <w:t xml:space="preserve">第4号指令</w:t>
      </w:r>
    </w:p>
    <w:p>
      <w:pPr>
        <w:pStyle w:val="BodyText"/>
      </w:pPr>
      <w:r>
        <w:t xml:space="preserve">第4号指令与此前通过之指令的差别包括:</w:t>
      </w:r>
    </w:p>
    <w:p>
      <w:pPr>
        <w:pStyle w:val="BodyText"/>
      </w:pPr>
      <w:r>
        <w:t xml:space="preserve">•</w:t>
      </w:r>
      <w:r>
        <w:rPr>
          <w:b/>
        </w:rPr>
        <w:t xml:space="preserve">将从事商品交易且支付或收取现金超过10,000欧元（此前为15,000欧元）或以上的自然人和法人纳入监管</w:t>
      </w:r>
      <w:r>
        <w:rPr>
          <w:b/>
        </w:rPr>
        <w:t xml:space="preserve"> </w:t>
      </w:r>
      <w:r>
        <w:rPr>
          <w:b/>
        </w:rPr>
        <w:t xml:space="preserve">。</w:t>
      </w:r>
    </w:p>
    <w:p>
      <w:pPr>
        <w:pStyle w:val="BodyText"/>
      </w:pPr>
      <w:r>
        <w:t xml:space="preserve">•</w:t>
      </w:r>
      <w:r>
        <w:rPr>
          <w:b/>
        </w:rPr>
        <w:t xml:space="preserve">义务主体的范围从单纯的赌场扩大至所有"博彩服务供应商"</w:t>
      </w:r>
      <w:r>
        <w:t xml:space="preserve">。</w:t>
      </w:r>
    </w:p>
    <w:p>
      <w:pPr>
        <w:pStyle w:val="BodyText"/>
      </w:pPr>
      <w:r>
        <w:t xml:space="preserve">• 转账金额如果超过1,000欧元，应进行客户尽职调查。指令还提出了一些新定义，包括:</w:t>
      </w:r>
    </w:p>
    <w:p>
      <w:pPr>
        <w:pStyle w:val="BodyText"/>
      </w:pPr>
      <w:r>
        <w:t xml:space="preserve">• </w:t>
      </w:r>
      <w:r>
        <w:t xml:space="preserve">代理关系</w:t>
      </w:r>
    </w:p>
    <w:p>
      <w:pPr>
        <w:pStyle w:val="BodyText"/>
      </w:pPr>
      <w:r>
        <w:t xml:space="preserve">• </w:t>
      </w:r>
      <w:r>
        <w:t xml:space="preserve">政治公众人物的家属及关系密切人员</w:t>
      </w:r>
    </w:p>
    <w:p>
      <w:pPr>
        <w:pStyle w:val="BodyText"/>
      </w:pPr>
      <w:r>
        <w:t xml:space="preserve">• </w:t>
      </w:r>
      <w:r>
        <w:t xml:space="preserve">高级管理层及其他</w:t>
      </w:r>
    </w:p>
    <w:p>
      <w:pPr>
        <w:pStyle w:val="BodyText"/>
      </w:pPr>
      <w:r>
        <w:t xml:space="preserve">• 根据第四指令，直接或间接与纳税相关的犯罪均属于广义上的"刑事犯罪活动"，与修订版金融行动特别工作组建议一致。</w:t>
      </w:r>
    </w:p>
    <w:p>
      <w:pPr>
        <w:pStyle w:val="BodyText"/>
      </w:pPr>
      <w:r>
        <w:t xml:space="preserve">• 新指令还解释了"偶然性或有限金融活动"。</w:t>
      </w:r>
    </w:p>
    <w:p>
      <w:pPr>
        <w:pStyle w:val="BodyText"/>
      </w:pPr>
      <w:r>
        <w:t xml:space="preserve">• 欧洲委员会必须每两年提交一份报告，汇报对影响欧盟市场的洗钱和恐怖融资活动的风险评估结果。</w:t>
      </w:r>
    </w:p>
    <w:p>
      <w:pPr>
        <w:pStyle w:val="BodyText"/>
      </w:pPr>
      <w:r>
        <w:t xml:space="preserve">• 欧盟执行委员会还负责识别在反洗钱和反恐融资方面具有战略缺陷的第三国司法管辖区（即高风险第三国）。</w:t>
      </w:r>
    </w:p>
    <w:p>
      <w:pPr>
        <w:pStyle w:val="BodyText"/>
      </w:pPr>
      <w:r>
        <w:rPr>
          <w:b/>
        </w:rPr>
        <w:t xml:space="preserve">选项分析:</w:t>
      </w:r>
    </w:p>
    <w:p>
      <w:pPr>
        <w:pStyle w:val="BodyText"/>
      </w:pPr>
      <w:r>
        <w:t xml:space="preserve">A选项错误，欧盟第四个反洗钱指令主要侧重于加强反洗钱措施和扩大监管范围等方面，并没有明确提及关于从客观事实情况推断对犯罪行为了解的内容，所以该选项不符合其导致的成员国程序变化。</w:t>
      </w:r>
    </w:p>
    <w:p>
      <w:pPr>
        <w:pStyle w:val="BodyText"/>
      </w:pPr>
      <w:r>
        <w:t xml:space="preserve">B选项错误，虽然洗钱和资助恐怖主义是重要的反洗钱领域相关罪行，但将它们定义为独立罪行并非是欧盟第四个反洗钱指令的核心变化点，该指令主要是在其他方面对反洗钱程序和要求进行了调整和强化，所以该选项不正确。</w:t>
      </w:r>
    </w:p>
    <w:p>
      <w:pPr>
        <w:pStyle w:val="BodyText"/>
      </w:pPr>
      <w:r>
        <w:t xml:space="preserve">C选项正确，</w:t>
      </w:r>
      <w:r>
        <w:rPr>
          <w:b/>
        </w:rPr>
        <w:t xml:space="preserve">欧盟第四个反洗钱指令确实对一些金额门槛进行了调整，降低了报告可疑交易的门槛，从原来较高的金额标准降至</w:t>
      </w:r>
      <w:r>
        <w:rPr>
          <w:b/>
        </w:rPr>
        <w:t xml:space="preserve"> </w:t>
      </w:r>
      <w:r>
        <w:rPr>
          <w:b/>
        </w:rPr>
        <w:t xml:space="preserve">10,000</w:t>
      </w:r>
      <w:r>
        <w:rPr>
          <w:b/>
        </w:rPr>
        <w:t xml:space="preserve"> </w:t>
      </w:r>
      <w:r>
        <w:rPr>
          <w:b/>
        </w:rPr>
        <w:t xml:space="preserve">欧元，这使得成员国在反洗钱工作中需要对更多金额较低但可能存在风险的交易进行报告和监控，是成员国程序上的一个重要变化</w:t>
      </w:r>
      <w:r>
        <w:t xml:space="preserve">，该选项正确。</w:t>
      </w:r>
    </w:p>
    <w:p>
      <w:pPr>
        <w:pStyle w:val="BodyText"/>
      </w:pPr>
      <w:r>
        <w:t xml:space="preserve">D选项正确，</w:t>
      </w:r>
      <w:r>
        <w:rPr>
          <w:b/>
        </w:rPr>
        <w:t xml:space="preserve">该指令扩大了义务实体的范围，将反洗钱的要求从传统的赌场进一步扩展到所有赌博服务的提供者，这意味着更多的机构和场所需要遵守反洗钱规定，加强客户身份识别、交易监控等措施，是成员国在反洗钱程序上的显著变化</w:t>
      </w:r>
      <w:r>
        <w:t xml:space="preserve">，该选项正确。</w:t>
      </w:r>
    </w:p>
    <w:p>
      <w:pPr>
        <w:pStyle w:val="BodyText"/>
      </w:pPr>
      <w:r>
        <w:t xml:space="preserve">E选项错误，虽然识别和核实法律实体的受益人是反洗钱工作中的重要要求，但这一要求并不是欧盟第四个反洗钱指令首次提出或重点强调导致成员国程序发生变化的内容，在之前的相关法规或实践中也有涉及，所以该选项不符合题意。</w:t>
      </w:r>
    </w:p>
    <w:p>
      <w:pPr>
        <w:pStyle w:val="BodyText"/>
      </w:pPr>
      <w:r>
        <w:t xml:space="preserve">5.依据欧盟第四反洗钱指令，哪项是现金门槛?</w:t>
      </w:r>
    </w:p>
    <w:p>
      <w:pPr>
        <w:pStyle w:val="BodyText"/>
      </w:pPr>
      <w:r>
        <w:t xml:space="preserve">A.3,000欧元</w:t>
      </w:r>
    </w:p>
    <w:p>
      <w:pPr>
        <w:pStyle w:val="BodyText"/>
      </w:pPr>
      <w:r>
        <w:t xml:space="preserve">B.5,000欧元</w:t>
      </w:r>
    </w:p>
    <w:p>
      <w:pPr>
        <w:pStyle w:val="BodyText"/>
      </w:pPr>
      <w:r>
        <w:t xml:space="preserve">C.10,000欧元</w:t>
      </w:r>
    </w:p>
    <w:p>
      <w:pPr>
        <w:pStyle w:val="BodyText"/>
      </w:pPr>
      <w:r>
        <w:t xml:space="preserve">D.15,000欧元</w:t>
      </w:r>
    </w:p>
    <w:p>
      <w:pPr>
        <w:pStyle w:val="BodyText"/>
      </w:pPr>
      <w:r>
        <w:t xml:space="preserve">答案:C</w:t>
      </w:r>
    </w:p>
    <w:p>
      <w:pPr>
        <w:pStyle w:val="BodyText"/>
      </w:pPr>
      <w:r>
        <w:t xml:space="preserve">解析:</w:t>
      </w:r>
      <w:r>
        <w:rPr>
          <w:b/>
        </w:rPr>
        <w:t xml:space="preserve">具体知识点:</w:t>
      </w:r>
    </w:p>
    <w:p>
      <w:pPr>
        <w:pStyle w:val="BodyText"/>
      </w:pPr>
      <w:r>
        <w:t xml:space="preserve">第 4 号指令</w:t>
      </w:r>
    </w:p>
    <w:p>
      <w:pPr>
        <w:pStyle w:val="BodyText"/>
      </w:pPr>
      <w:r>
        <w:t xml:space="preserve">第 4 号指令与此前通过之指令的差别包括:</w:t>
      </w:r>
    </w:p>
    <w:p>
      <w:pPr>
        <w:pStyle w:val="BodyText"/>
      </w:pPr>
      <w:r>
        <w:t xml:space="preserve">•</w:t>
      </w:r>
      <w:r>
        <w:t xml:space="preserve"> </w:t>
      </w:r>
      <w:r>
        <w:rPr>
          <w:b/>
        </w:rPr>
        <w:t xml:space="preserve">将从事商品交易且支付或收取现金超过</w:t>
      </w:r>
      <w:r>
        <w:rPr>
          <w:b/>
        </w:rPr>
        <w:t xml:space="preserve"> </w:t>
      </w:r>
      <w:r>
        <w:rPr>
          <w:b/>
        </w:rPr>
        <w:t xml:space="preserve">10,000欧元</w:t>
      </w:r>
      <w:r>
        <w:rPr>
          <w:b/>
        </w:rPr>
        <w:t xml:space="preserve"> </w:t>
      </w:r>
      <w:r>
        <w:rPr>
          <w:b/>
        </w:rPr>
        <w:t xml:space="preserve">（此前为 15,000</w:t>
      </w:r>
      <w:r>
        <w:rPr>
          <w:b/>
        </w:rPr>
        <w:t xml:space="preserve"> </w:t>
      </w:r>
      <w:r>
        <w:rPr>
          <w:b/>
        </w:rPr>
        <w:t xml:space="preserve">欧元）或以上的自然人和法人纳入监管。</w:t>
      </w:r>
    </w:p>
    <w:p>
      <w:pPr>
        <w:pStyle w:val="BodyText"/>
      </w:pPr>
      <w:r>
        <w:t xml:space="preserve">6.欧洲联盟关于洗钱问题的第四项指令包含了哪些要求?</w:t>
      </w:r>
    </w:p>
    <w:p>
      <w:pPr>
        <w:pStyle w:val="BodyText"/>
      </w:pPr>
      <w:r>
        <w:t xml:space="preserve">A.它要求成员国将政治公众人物视为高风险客户</w:t>
      </w:r>
    </w:p>
    <w:p>
      <w:pPr>
        <w:pStyle w:val="BodyText"/>
      </w:pPr>
      <w:r>
        <w:t xml:space="preserve">B.它要求成员国对所有预付卡持有人进行强化尽职调查</w:t>
      </w:r>
    </w:p>
    <w:p>
      <w:pPr>
        <w:pStyle w:val="BodyText"/>
      </w:pPr>
      <w:r>
        <w:t xml:space="preserve">C.它要求成员国保持法律实体受益所有人的登记册</w:t>
      </w:r>
    </w:p>
    <w:p>
      <w:pPr>
        <w:pStyle w:val="BodyText"/>
      </w:pPr>
      <w:r>
        <w:t xml:space="preserve">D.它要求成员国对不配合金融行动工作组建议的国家实施经济制裁</w:t>
      </w:r>
    </w:p>
    <w:p>
      <w:pPr>
        <w:pStyle w:val="BodyText"/>
      </w:pPr>
      <w:r>
        <w:t xml:space="preserve">答案:C</w:t>
      </w:r>
    </w:p>
    <w:p>
      <w:pPr>
        <w:pStyle w:val="BodyText"/>
      </w:pPr>
      <w:r>
        <w:t xml:space="preserve">解析:</w:t>
      </w:r>
      <w:r>
        <w:rPr>
          <w:b/>
        </w:rPr>
        <w:t xml:space="preserve">具体知识点:</w:t>
      </w:r>
    </w:p>
    <w:p>
      <w:pPr>
        <w:pStyle w:val="BodyText"/>
      </w:pPr>
      <w:r>
        <w:t xml:space="preserve">第4号指令</w:t>
      </w:r>
    </w:p>
    <w:p>
      <w:pPr>
        <w:pStyle w:val="BodyText"/>
      </w:pPr>
      <w:r>
        <w:t xml:space="preserve">指令还增加了有关受益所有人信息的新规定，尤其适用于信托及类似法律安排。</w:t>
      </w:r>
      <w:r>
        <w:rPr>
          <w:b/>
        </w:rPr>
        <w:t xml:space="preserve">在不违反数据保护法规的情况下，该信息必须由各成员国的集中注册处保管</w:t>
      </w:r>
      <w:r>
        <w:rPr>
          <w:b/>
        </w:rPr>
        <w:t xml:space="preserve"> </w:t>
      </w:r>
      <w:r>
        <w:rPr>
          <w:b/>
        </w:rPr>
        <w:t xml:space="preserve">，</w:t>
      </w:r>
      <w:r>
        <w:t xml:space="preserve">且相关部门、金融情报机构(FIU)、责任主体及任何有合法利益的人士必须有访问权。</w:t>
      </w:r>
    </w:p>
    <w:p>
      <w:pPr>
        <w:pStyle w:val="BodyText"/>
      </w:pPr>
      <w:r>
        <w:rPr>
          <w:b/>
        </w:rPr>
        <w:t xml:space="preserve">选项分析:</w:t>
      </w:r>
    </w:p>
    <w:p>
      <w:pPr>
        <w:pStyle w:val="BodyText"/>
      </w:pPr>
      <w:r>
        <w:t xml:space="preserve">A错误，虽然4AMLD确实要求对PEPs（政治公众人物）进行强化尽职调查，但这并不意味着所有政治公众人物都是高风险客户。</w:t>
      </w:r>
    </w:p>
    <w:p>
      <w:pPr>
        <w:pStyle w:val="BodyText"/>
      </w:pPr>
      <w:r>
        <w:t xml:space="preserve">B错误，仅对高价值预付卡（如单张超过250欧元）才需强化审查。</w:t>
      </w:r>
    </w:p>
    <w:p>
      <w:pPr>
        <w:pStyle w:val="BodyText"/>
      </w:pPr>
      <w:r>
        <w:t xml:space="preserve">D错误，4AMLD要求对高风险第三国加强尽职调查，但未直接规定经济制裁。</w:t>
      </w:r>
    </w:p>
    <w:p>
      <w:pPr>
        <w:pStyle w:val="BodyText"/>
      </w:pPr>
      <w:r>
        <w:t xml:space="preserve">7.一家大型金融机构正在考虑将业务扩展到世界上反洗钱法律薄弱的地区。基于风险的评估表明，该地点将使该金融机构的风险承受力超过规定的可接受的数额。应使用哪些风险因素来确定该金融机构的优先权?</w:t>
      </w:r>
    </w:p>
    <w:p>
      <w:pPr>
        <w:pStyle w:val="BodyText"/>
      </w:pPr>
      <w:r>
        <w:t xml:space="preserve">A.地理上的风险</w:t>
      </w:r>
    </w:p>
    <w:p>
      <w:pPr>
        <w:pStyle w:val="BodyText"/>
      </w:pPr>
      <w:r>
        <w:t xml:space="preserve">B.未知的第三方风险</w:t>
      </w:r>
    </w:p>
    <w:p>
      <w:pPr>
        <w:pStyle w:val="BodyText"/>
      </w:pPr>
      <w:r>
        <w:t xml:space="preserve">C.匿名交易风险</w:t>
      </w:r>
    </w:p>
    <w:p>
      <w:pPr>
        <w:pStyle w:val="BodyText"/>
      </w:pPr>
      <w:r>
        <w:t xml:space="preserve">D.现金密集型企业的风险</w:t>
      </w:r>
    </w:p>
    <w:p>
      <w:pPr>
        <w:pStyle w:val="BodyText"/>
      </w:pPr>
      <w:r>
        <w:t xml:space="preserve">答案:A</w:t>
      </w:r>
    </w:p>
    <w:p>
      <w:pPr>
        <w:pStyle w:val="BodyText"/>
      </w:pPr>
      <w:r>
        <w:t xml:space="preserve">解析:</w:t>
      </w:r>
      <w:r>
        <w:rPr>
          <w:b/>
        </w:rPr>
        <w:t xml:space="preserve">具体知识点:</w:t>
      </w:r>
    </w:p>
    <w:p>
      <w:pPr>
        <w:pStyle w:val="BodyText"/>
      </w:pPr>
      <w:r>
        <w:t xml:space="preserve">第 4 号指令</w:t>
      </w:r>
    </w:p>
    <w:p>
      <w:pPr>
        <w:pStyle w:val="BodyText"/>
      </w:pPr>
      <w:r>
        <w:t xml:space="preserve">从国家层面看，该指令要求各成员国执行反洗钱 /</w:t>
      </w:r>
      <w:r>
        <w:t xml:space="preserve"> </w:t>
      </w:r>
      <w:r>
        <w:t xml:space="preserve">反恐融资风险评估，并指定主管部门。 此外，</w:t>
      </w:r>
      <w:r>
        <w:t xml:space="preserve"> </w:t>
      </w:r>
      <w:r>
        <w:t xml:space="preserve">各成员国必须确保责任主体采取适当措施，识别并评估各自面临的风险。</w:t>
      </w:r>
      <w:r>
        <w:t xml:space="preserve"> </w:t>
      </w:r>
      <w:r>
        <w:t xml:space="preserve">该指令提供了潜在的较高和较低风险的非详尽清单，为各国的风险评估提供指导，这些清单的依据包括:</w:t>
      </w:r>
    </w:p>
    <w:p>
      <w:pPr>
        <w:pStyle w:val="BodyText"/>
      </w:pPr>
      <w:r>
        <w:t xml:space="preserve">①客户风险因素，例如公共管理机构与现金密集型企业</w:t>
      </w:r>
    </w:p>
    <w:p>
      <w:pPr>
        <w:pStyle w:val="BodyText"/>
      </w:pPr>
      <w:r>
        <w:t xml:space="preserve">②产品和服务、交易和销售渠道的风险因素，例如保费较低的保单与私人银行业务</w:t>
      </w:r>
    </w:p>
    <w:p>
      <w:pPr>
        <w:pStyle w:val="BodyText"/>
      </w:pPr>
      <w:r>
        <w:t xml:space="preserve">③</w:t>
      </w:r>
      <w:r>
        <w:rPr>
          <w:b/>
        </w:rPr>
        <w:t xml:space="preserve">地理风险因素</w:t>
      </w:r>
      <w:r>
        <w:rPr>
          <w:b/>
        </w:rPr>
        <w:t xml:space="preserve"> </w:t>
      </w:r>
      <w:r>
        <w:rPr>
          <w:b/>
        </w:rPr>
        <w:t xml:space="preserve">，例如成员国与受制裁国家。</w:t>
      </w:r>
    </w:p>
    <w:p>
      <w:pPr>
        <w:pStyle w:val="BodyText"/>
      </w:pPr>
      <w:r>
        <w:rPr>
          <w:b/>
        </w:rPr>
        <w:t xml:space="preserve">选项分析:</w:t>
      </w:r>
    </w:p>
    <w:p>
      <w:pPr>
        <w:pStyle w:val="BodyText"/>
      </w:pPr>
      <w:r>
        <w:t xml:space="preserve">B选项错误，未知第三方风险需先确认当地代理行/中介的分布密度，可通过EDD部分缓解。</w:t>
      </w:r>
    </w:p>
    <w:p>
      <w:pPr>
        <w:pStyle w:val="BodyText"/>
      </w:pPr>
      <w:r>
        <w:t xml:space="preserve">C选项错误，匿名交易风险取决于当地是否允许匿名账户（如巴拿马旧法），可以通过技术手段限制（如强制穿透受益所有人）。</w:t>
      </w:r>
    </w:p>
    <w:p>
      <w:pPr>
        <w:pStyle w:val="BodyText"/>
      </w:pPr>
      <w:r>
        <w:t xml:space="preserve">D选项错误，现金密集型风险需结合具体业务线（如当地是否以现金经济为主）。</w:t>
      </w:r>
    </w:p>
    <w:p>
      <w:pPr>
        <w:pStyle w:val="BodyText"/>
      </w:pPr>
      <w:r>
        <w:t xml:space="preserve">8.(多选题)根据欧盟反洗钱5号指令，成员国要求实体对涉及高风险第三国国民的业务关系或交易实施增强客户尽职调查措施。这些要求包括哪些内容?（选择三个）</w:t>
      </w:r>
    </w:p>
    <w:p>
      <w:pPr>
        <w:pStyle w:val="BodyText"/>
      </w:pPr>
      <w:r>
        <w:t xml:space="preserve">A.获得高级管理层对建立或继续业务关系的批准</w:t>
      </w:r>
    </w:p>
    <w:p>
      <w:pPr>
        <w:pStyle w:val="BodyText"/>
      </w:pPr>
      <w:r>
        <w:t xml:space="preserve">B.获取所有授权人员的护照副本</w:t>
      </w:r>
    </w:p>
    <w:p>
      <w:pPr>
        <w:pStyle w:val="BodyText"/>
      </w:pPr>
      <w:r>
        <w:t xml:space="preserve">C.建立和验证客户的地址</w:t>
      </w:r>
    </w:p>
    <w:p>
      <w:pPr>
        <w:pStyle w:val="BodyText"/>
      </w:pPr>
      <w:r>
        <w:t xml:space="preserve">D.获取有关预期或已执行交易原因的信息</w:t>
      </w:r>
    </w:p>
    <w:p>
      <w:pPr>
        <w:pStyle w:val="BodyText"/>
      </w:pPr>
      <w:r>
        <w:t xml:space="preserve">E.获取客户的税务参考详细信息</w:t>
      </w:r>
    </w:p>
    <w:p>
      <w:pPr>
        <w:pStyle w:val="BodyText"/>
      </w:pPr>
      <w:r>
        <w:t xml:space="preserve">F.获取客户和受益所有人的资金和财富来源信息</w:t>
      </w:r>
    </w:p>
    <w:p>
      <w:pPr>
        <w:pStyle w:val="BodyText"/>
      </w:pPr>
      <w:r>
        <w:t xml:space="preserve">答案:A D F</w:t>
      </w:r>
    </w:p>
    <w:p>
      <w:pPr>
        <w:pStyle w:val="BodyText"/>
      </w:pPr>
      <w:r>
        <w:t xml:space="preserve">解析:</w:t>
      </w:r>
      <w:r>
        <w:rPr>
          <w:b/>
        </w:rPr>
        <w:t xml:space="preserve">具体知识点:</w:t>
      </w:r>
    </w:p>
    <w:p>
      <w:pPr>
        <w:pStyle w:val="BodyText"/>
      </w:pPr>
      <w:r>
        <w:t xml:space="preserve">第5号指令</w:t>
      </w:r>
    </w:p>
    <w:p>
      <w:pPr>
        <w:pStyle w:val="BodyText"/>
      </w:pPr>
      <w:r>
        <w:t xml:space="preserve">第 (EU) 2018/843</w:t>
      </w:r>
      <w:r>
        <w:t xml:space="preserve"> </w:t>
      </w:r>
      <w:r>
        <w:t xml:space="preserve">号《关于防止利用金融系统进行洗钱和恐怖融资活动》的指令于</w:t>
      </w:r>
      <w:r>
        <w:t xml:space="preserve"> </w:t>
      </w:r>
      <w:r>
        <w:t xml:space="preserve">2018年7月9日正式生效。第5号指令进一步强化了欧盟反洗钱和反恐融资制度。它关注七大领域:</w:t>
      </w:r>
    </w:p>
    <w:p>
      <w:pPr>
        <w:pStyle w:val="BodyText"/>
      </w:pPr>
      <w:r>
        <w:t xml:space="preserve">o </w:t>
      </w:r>
      <w:r>
        <w:t xml:space="preserve">受益所有人:第 5</w:t>
      </w:r>
      <w:r>
        <w:t xml:space="preserve"> </w:t>
      </w:r>
      <w:r>
        <w:t xml:space="preserve">号指令规定应能公开访问各国受益所有权（信托除外）登记库。受监管实体应提供"充分、准确、及时"的受益所有人信息。</w:t>
      </w:r>
    </w:p>
    <w:p>
      <w:pPr>
        <w:pStyle w:val="BodyText"/>
      </w:pPr>
      <w:r>
        <w:t xml:space="preserve">o </w:t>
      </w:r>
      <w:r>
        <w:t xml:space="preserve">监管部门之间的合作与信息共享:第 5</w:t>
      </w:r>
      <w:r>
        <w:t xml:space="preserve"> </w:t>
      </w:r>
      <w:r>
        <w:t xml:space="preserve">号指令强化了欧盟成员国金融监管部门之间的合作与信息共享。</w:t>
      </w:r>
    </w:p>
    <w:p>
      <w:pPr>
        <w:pStyle w:val="BodyText"/>
      </w:pPr>
      <w:r>
        <w:t xml:space="preserve">o </w:t>
      </w:r>
      <w:r>
        <w:t xml:space="preserve">高风险第三国:基于下列各项，加大对高风险第三国的监控:</w:t>
      </w:r>
    </w:p>
    <w:p>
      <w:pPr>
        <w:pStyle w:val="BodyText"/>
      </w:pPr>
      <w:r>
        <w:t xml:space="preserve">o 列入金融行动特别工作组名单和欧盟名单的国家</w:t>
      </w:r>
    </w:p>
    <w:p>
      <w:pPr>
        <w:pStyle w:val="BodyText"/>
      </w:pPr>
      <w:r>
        <w:t xml:space="preserve">o</w:t>
      </w:r>
      <w:r>
        <w:t xml:space="preserve"> </w:t>
      </w:r>
      <w:r>
        <w:t xml:space="preserve">对更多国家实施自主评估，确定每个国家面临的风险状况和威胁程度，并评估法律框架及其在八个领域的有效应用:</w:t>
      </w:r>
    </w:p>
    <w:p>
      <w:pPr>
        <w:pStyle w:val="BodyText"/>
      </w:pPr>
      <w:r>
        <w:t xml:space="preserve">（1）洗钱和恐怖融资的刑事定罪</w:t>
      </w:r>
    </w:p>
    <w:p>
      <w:pPr>
        <w:pStyle w:val="BodyText"/>
      </w:pPr>
      <w:r>
        <w:t xml:space="preserve">（2）客户尽职调查 (CDD) 要求，记录保存，并报告可疑交易</w:t>
      </w:r>
    </w:p>
    <w:p>
      <w:pPr>
        <w:pStyle w:val="BodyText"/>
      </w:pPr>
      <w:r>
        <w:t xml:space="preserve">（3）特定非金融行业须承担相同的客户尽职调查、记录保存和报告义务。</w:t>
      </w:r>
    </w:p>
    <w:p>
      <w:pPr>
        <w:pStyle w:val="BodyText"/>
      </w:pPr>
      <w:r>
        <w:t xml:space="preserve">（4）制裁应当有效、适当且具有劝戒效果。</w:t>
      </w:r>
    </w:p>
    <w:p>
      <w:pPr>
        <w:pStyle w:val="BodyText"/>
      </w:pPr>
      <w:r>
        <w:t xml:space="preserve">（5）各国必须确保落实有效监督。</w:t>
      </w:r>
    </w:p>
    <w:p>
      <w:pPr>
        <w:pStyle w:val="BodyText"/>
      </w:pPr>
      <w:r>
        <w:t xml:space="preserve">（6）国际合作</w:t>
      </w:r>
    </w:p>
    <w:p>
      <w:pPr>
        <w:pStyle w:val="BodyText"/>
      </w:pPr>
      <w:r>
        <w:t xml:space="preserve">（7）必须提供有关法人实体的受益所有人和法律安排的信息。</w:t>
      </w:r>
    </w:p>
    <w:p>
      <w:pPr>
        <w:pStyle w:val="BodyText"/>
      </w:pPr>
      <w:r>
        <w:t xml:space="preserve">（8）实施有针对性的金融制裁 (UN)，打击恐怖主义。</w:t>
      </w:r>
    </w:p>
    <w:p>
      <w:pPr>
        <w:pStyle w:val="BodyText"/>
      </w:pPr>
      <w:r>
        <w:t xml:space="preserve">第5号指令新增要求，在与高风险国家交易时应当实施简化增强尽职调查，包括:</w:t>
      </w:r>
    </w:p>
    <w:p>
      <w:pPr>
        <w:pStyle w:val="BodyText"/>
      </w:pPr>
      <w:r>
        <w:t xml:space="preserve">o</w:t>
      </w:r>
      <w:r>
        <w:rPr>
          <w:b/>
        </w:rPr>
        <w:t xml:space="preserve">收集有关客户、受益所有人和业务关系性质的补充信息，包括资金来源和财富来源</w:t>
      </w:r>
    </w:p>
    <w:p>
      <w:pPr>
        <w:pStyle w:val="BodyText"/>
      </w:pPr>
      <w:r>
        <w:t xml:space="preserve">o</w:t>
      </w:r>
      <w:r>
        <w:rPr>
          <w:b/>
        </w:rPr>
        <w:t xml:space="preserve">获得高级管理层对业务关系的批准</w:t>
      </w:r>
    </w:p>
    <w:p>
      <w:pPr>
        <w:pStyle w:val="BodyText"/>
      </w:pPr>
      <w:r>
        <w:t xml:space="preserve">o</w:t>
      </w:r>
      <w:r>
        <w:rPr>
          <w:b/>
        </w:rPr>
        <w:t xml:space="preserve">加强对这些实体的监控，包括获取预期交易或已执行交易的原因等相关信息</w:t>
      </w:r>
    </w:p>
    <w:p>
      <w:pPr>
        <w:pStyle w:val="BodyText"/>
      </w:pPr>
      <w:r>
        <w:t xml:space="preserve">o </w:t>
      </w:r>
      <w:r>
        <w:t xml:space="preserve">预付卡:第5号指令降低了预付卡匿名使用的门槛，实体店购物从 250</w:t>
      </w:r>
      <w:r>
        <w:t xml:space="preserve"> </w:t>
      </w:r>
      <w:r>
        <w:t xml:space="preserve">欧元降至150欧元，而线上购物则降至 50 欧元。</w:t>
      </w:r>
    </w:p>
    <w:p>
      <w:pPr>
        <w:pStyle w:val="BodyText"/>
      </w:pPr>
      <w:r>
        <w:t xml:space="preserve">o </w:t>
      </w:r>
      <w:r>
        <w:t xml:space="preserve">加强对政治公众人物的身份识别:第5号指令公布了从各成员国和经认证的国际组织收集的重要政治公众人物名单，借此引入更高效的方法，力求识别政治公众人物的身份。</w:t>
      </w:r>
    </w:p>
    <w:p>
      <w:pPr>
        <w:pStyle w:val="BodyText"/>
      </w:pPr>
      <w:r>
        <w:t xml:space="preserve">o </w:t>
      </w:r>
      <w:r>
        <w:t xml:space="preserve">扩大须承担反洗钱/反恐融资义务的部门和人员的范围:第5号指令将先前指令的适用范围扩大到以下部门和人员:</w:t>
      </w:r>
    </w:p>
    <w:p>
      <w:pPr>
        <w:pStyle w:val="BodyText"/>
      </w:pPr>
      <w:r>
        <w:t xml:space="preserve">o 房地产经纪商</w:t>
      </w:r>
    </w:p>
    <w:p>
      <w:pPr>
        <w:pStyle w:val="BodyText"/>
      </w:pPr>
      <w:r>
        <w:t xml:space="preserve">o 审计师、外部会计师和税务顾问</w:t>
      </w:r>
    </w:p>
    <w:p>
      <w:pPr>
        <w:pStyle w:val="BodyText"/>
      </w:pPr>
      <w:r>
        <w:rPr>
          <w:b/>
        </w:rPr>
        <w:t xml:space="preserve">选项分析:</w:t>
      </w:r>
    </w:p>
    <w:p>
      <w:pPr>
        <w:pStyle w:val="BodyText"/>
      </w:pPr>
      <w:r>
        <w:t xml:space="preserve">A选项正确，</w:t>
      </w:r>
      <w:r>
        <w:rPr>
          <w:b/>
        </w:rPr>
        <w:t xml:space="preserve">AMLD5第18a(1)(a)条明确要求，必须由高级管理层（如合规主管、董事会）批准与高风险第三国客户建立或维持业务关系。</w:t>
      </w:r>
    </w:p>
    <w:p>
      <w:pPr>
        <w:pStyle w:val="BodyText"/>
      </w:pPr>
      <w:r>
        <w:rPr>
          <w:b/>
        </w:rPr>
        <w:t xml:space="preserve">目的:确保高风险交易受到严格监督。</w:t>
      </w:r>
    </w:p>
    <w:p>
      <w:pPr>
        <w:pStyle w:val="BodyText"/>
      </w:pPr>
      <w:r>
        <w:t xml:space="preserve">B选项错误，超出了AMLD5要求，只需验证 受益所有人（UBO）</w:t>
      </w:r>
      <w:r>
        <w:t xml:space="preserve"> </w:t>
      </w:r>
      <w:r>
        <w:t xml:space="preserve">的身份，而非所有授权人员。</w:t>
      </w:r>
    </w:p>
    <w:p>
      <w:pPr>
        <w:pStyle w:val="BodyText"/>
      </w:pPr>
      <w:r>
        <w:t xml:space="preserve">C选项错误，验证客户地址属于基础CDD，非EDD特有，地址验证是KYC基本步骤，但AMLD5未将其列为高风险国家的增强措施。</w:t>
      </w:r>
    </w:p>
    <w:p>
      <w:pPr>
        <w:pStyle w:val="BodyText"/>
      </w:pPr>
      <w:r>
        <w:t xml:space="preserve">D选项正确，</w:t>
      </w:r>
      <w:r>
        <w:rPr>
          <w:b/>
        </w:rPr>
        <w:t xml:space="preserve">AMLD5第18a(1)(b)条，必须了解交易目的和资金来源，并验证其合理性。</w:t>
      </w:r>
    </w:p>
    <w:p>
      <w:pPr>
        <w:pStyle w:val="BodyText"/>
      </w:pPr>
      <w:r>
        <w:t xml:space="preserve">F选项正确，</w:t>
      </w:r>
      <w:r>
        <w:rPr>
          <w:b/>
        </w:rPr>
        <w:t xml:space="preserve">AMLD5第18a(1)(c)条，必须收集客户及其受益所有人（UBO）的财富来源证明（如工资单、企业收入、投资收益等）。核心要求是确保资金合法性，防止犯罪所得渗透。</w:t>
      </w:r>
    </w:p>
    <w:p>
      <w:pPr>
        <w:pStyle w:val="BodyText"/>
      </w:pPr>
      <w:r>
        <w:t xml:space="preserve">E选项错误，非AMLD5对高风险第三国的强制EDD要求，税务信息（如税号）是常规CDD内容，但AMLD5未将其列为高风险国家的特殊EDD措施（除非涉及税务透明性审查）。</w:t>
      </w:r>
    </w:p>
    <w:p>
      <w:pPr>
        <w:pStyle w:val="BodyText"/>
      </w:pPr>
      <w:r>
        <w:t xml:space="preserve">9.哪项声明最能描述欧盟反洗钱指令中关于与高风险第三国的业务关系和交易的关键方面?</w:t>
      </w:r>
    </w:p>
    <w:p>
      <w:pPr>
        <w:pStyle w:val="BodyText"/>
      </w:pPr>
      <w:r>
        <w:t xml:space="preserve">A.成员国应自愿考虑对位于高风险国家的分支机构和子公司实施更高的外部审计要求</w:t>
      </w:r>
    </w:p>
    <w:p>
      <w:pPr>
        <w:pStyle w:val="BodyText"/>
      </w:pPr>
      <w:r>
        <w:t xml:space="preserve">B.根据成员国条例，成员国有义务在国家一级确定可用于加强尽职调查的措施</w:t>
      </w:r>
    </w:p>
    <w:p>
      <w:pPr>
        <w:pStyle w:val="BodyText"/>
      </w:pPr>
      <w:r>
        <w:t xml:space="preserve">C.成员国有义务根据风险为本，实施增强客户尽职调查程序的额外缓解措施</w:t>
      </w:r>
    </w:p>
    <w:p>
      <w:pPr>
        <w:pStyle w:val="BodyText"/>
      </w:pPr>
      <w:r>
        <w:t xml:space="preserve">D.成员国有义务在执行增强尽职调查措施时不应考虑具体情况</w:t>
      </w:r>
    </w:p>
    <w:p>
      <w:pPr>
        <w:pStyle w:val="BodyText"/>
      </w:pPr>
      <w:r>
        <w:t xml:space="preserve">答案:C</w:t>
      </w:r>
    </w:p>
    <w:p>
      <w:pPr>
        <w:pStyle w:val="BodyText"/>
      </w:pPr>
      <w:r>
        <w:t xml:space="preserve">解析:</w:t>
      </w:r>
      <w:r>
        <w:rPr>
          <w:b/>
        </w:rPr>
        <w:t xml:space="preserve">具体知识点:</w:t>
      </w:r>
    </w:p>
    <w:p>
      <w:pPr>
        <w:pStyle w:val="BodyText"/>
      </w:pPr>
      <w:r>
        <w:t xml:space="preserve">第5号指令</w:t>
      </w:r>
    </w:p>
    <w:p>
      <w:pPr>
        <w:pStyle w:val="BodyText"/>
      </w:pPr>
      <w:r>
        <w:rPr>
          <w:b/>
        </w:rPr>
        <w:t xml:space="preserve">第 5</w:t>
      </w:r>
      <w:r>
        <w:rPr>
          <w:b/>
        </w:rPr>
        <w:t xml:space="preserve"> </w:t>
      </w:r>
      <w:r>
        <w:rPr>
          <w:b/>
        </w:rPr>
        <w:t xml:space="preserve">号指令新增要求，在与高风险国家交易时应当实施简化增强尽职调查</w:t>
      </w:r>
      <w:r>
        <w:t xml:space="preserve">，包括:</w:t>
      </w:r>
    </w:p>
    <w:p>
      <w:pPr>
        <w:pStyle w:val="BodyText"/>
      </w:pPr>
      <w:r>
        <w:t xml:space="preserve">o</w:t>
      </w:r>
      <w:r>
        <w:t xml:space="preserve"> </w:t>
      </w:r>
      <w:r>
        <w:t xml:space="preserve">收集有关客户、受益所有人和业务关系性质的补充信息，包括资金来源和财富来源</w:t>
      </w:r>
    </w:p>
    <w:p>
      <w:pPr>
        <w:pStyle w:val="BodyText"/>
      </w:pPr>
      <w:r>
        <w:t xml:space="preserve">o 获得高级管理层对业务关系的批准</w:t>
      </w:r>
    </w:p>
    <w:p>
      <w:pPr>
        <w:pStyle w:val="BodyText"/>
      </w:pPr>
      <w:r>
        <w:t xml:space="preserve">o 加强对这些实体的监控，包括获取预期交易或已执行交易的原因等相关信息</w:t>
      </w:r>
    </w:p>
    <w:p>
      <w:pPr>
        <w:pStyle w:val="BodyText"/>
      </w:pPr>
      <w:r>
        <w:rPr>
          <w:b/>
        </w:rPr>
        <w:t xml:space="preserve">选项分析:</w:t>
      </w:r>
    </w:p>
    <w:p>
      <w:pPr>
        <w:pStyle w:val="BodyText"/>
      </w:pPr>
      <w:r>
        <w:t xml:space="preserve">A选项错误，"自愿考虑"错误，AMLD对高风险国家是强制性EDD（非自愿）。</w:t>
      </w:r>
    </w:p>
    <w:p>
      <w:pPr>
        <w:pStyle w:val="BodyText"/>
      </w:pPr>
      <w:r>
        <w:t xml:space="preserve">B选项错误，措施由欧盟统一规定（如委员会高风险国家名单），成员国无权自行决定。</w:t>
      </w:r>
    </w:p>
    <w:p>
      <w:pPr>
        <w:pStyle w:val="BodyText"/>
      </w:pPr>
      <w:r>
        <w:t xml:space="preserve">C选项正确，</w:t>
      </w:r>
      <w:r>
        <w:rPr>
          <w:b/>
        </w:rPr>
        <w:t xml:space="preserve">符合AMLD对高风险国家的EDD要求（如第4/5号指令）。强调"风险为本"的灵活性，允许成员国根据交易类型、客户背景等调整措施。</w:t>
      </w:r>
    </w:p>
    <w:p>
      <w:pPr>
        <w:pStyle w:val="BodyText"/>
      </w:pPr>
      <w:r>
        <w:t xml:space="preserve">D选项错误，直接违反AMLD的"风险为本"原则，EDD必须考虑具体情况（如客户性质、交易模式）。</w:t>
      </w:r>
    </w:p>
    <w:p>
      <w:pPr>
        <w:pStyle w:val="BodyText"/>
      </w:pPr>
      <w:r>
        <w:t xml:space="preserve">10.(多选题)哪些是欧洲联盟（欧盟）第五个反洗钱指令的要求? (选择两个)</w:t>
      </w:r>
    </w:p>
    <w:p>
      <w:pPr>
        <w:pStyle w:val="BodyText"/>
      </w:pPr>
      <w:r>
        <w:t xml:space="preserve">A.促进银行的记录保存义务，最大限度地保存反洗钱/打击恐怖主义调查所需的数据。</w:t>
      </w:r>
    </w:p>
    <w:p>
      <w:pPr>
        <w:pStyle w:val="BodyText"/>
      </w:pPr>
      <w:r>
        <w:t xml:space="preserve">B.将反洗钱/反恐规则扩大到提供虚拟货币服务的实体。</w:t>
      </w:r>
    </w:p>
    <w:p>
      <w:pPr>
        <w:pStyle w:val="BodyText"/>
      </w:pPr>
      <w:r>
        <w:t xml:space="preserve">C.扩大评估高风险第三国的标准。</w:t>
      </w:r>
    </w:p>
    <w:p>
      <w:pPr>
        <w:pStyle w:val="BodyText"/>
      </w:pPr>
      <w:r>
        <w:t xml:space="preserve">D.在处理有组织犯罪和恐怖主义威胁的战略中制定不同的方法。</w:t>
      </w:r>
    </w:p>
    <w:p>
      <w:pPr>
        <w:pStyle w:val="BodyText"/>
      </w:pPr>
      <w:r>
        <w:t xml:space="preserve">E.根据金融情报机构的职能、权限和权力的性质差异，向其提供信息访问。</w:t>
      </w:r>
    </w:p>
    <w:p>
      <w:pPr>
        <w:pStyle w:val="BodyText"/>
      </w:pPr>
      <w:r>
        <w:t xml:space="preserve">答案:B C</w:t>
      </w:r>
    </w:p>
    <w:p>
      <w:pPr>
        <w:pStyle w:val="BodyText"/>
      </w:pPr>
      <w:r>
        <w:t xml:space="preserve">解析:</w:t>
      </w:r>
      <w:r>
        <w:rPr>
          <w:b/>
        </w:rPr>
        <w:t xml:space="preserve">具体知识点:</w:t>
      </w:r>
    </w:p>
    <w:p>
      <w:pPr>
        <w:pStyle w:val="BodyText"/>
      </w:pPr>
      <w:r>
        <w:t xml:space="preserve">第 5 号指令</w:t>
      </w:r>
    </w:p>
    <w:p>
      <w:pPr>
        <w:pStyle w:val="BodyText"/>
      </w:pPr>
      <w:r>
        <w:t xml:space="preserve">第 (EU) 2018/843</w:t>
      </w:r>
      <w:r>
        <w:t xml:space="preserve"> </w:t>
      </w:r>
      <w:r>
        <w:t xml:space="preserve">号《关于防止利用金融系统进行洗钱和恐怖融资活动》的指令于2018年7月9日正式生效。第5号指令进一步强化了欧盟反洗钱和反恐融资制度。它关注七大领域:</w:t>
      </w:r>
    </w:p>
    <w:p>
      <w:pPr>
        <w:pStyle w:val="BodyText"/>
      </w:pPr>
      <w:r>
        <w:t xml:space="preserve">①受益所有人:第5号指令规定应能公开访问各国受益所有权（信托除外）登记库。受监管实体应提供"充分、准确、及时"的受益所有人信息。</w:t>
      </w:r>
    </w:p>
    <w:p>
      <w:pPr>
        <w:pStyle w:val="BodyText"/>
      </w:pPr>
      <w:r>
        <w:t xml:space="preserve">②监管部门之间的合作与信息共享:第5号指令强化了欧盟成员国金融监管部门之间的合作与信息共享。</w:t>
      </w:r>
    </w:p>
    <w:p>
      <w:pPr>
        <w:pStyle w:val="BodyText"/>
      </w:pPr>
      <w:r>
        <w:t xml:space="preserve">③</w:t>
      </w:r>
      <w:r>
        <w:rPr>
          <w:b/>
        </w:rPr>
        <w:t xml:space="preserve">高风险第三国:基于下列各项，加大对高风险第三国的监控</w:t>
      </w:r>
      <w:r>
        <w:rPr>
          <w:b/>
        </w:rPr>
        <w:t xml:space="preserve"> </w:t>
      </w:r>
      <w:r>
        <w:rPr>
          <w:b/>
        </w:rPr>
        <w:t xml:space="preserve">:</w:t>
      </w:r>
    </w:p>
    <w:p>
      <w:pPr>
        <w:pStyle w:val="BodyText"/>
      </w:pPr>
      <w:r>
        <w:t xml:space="preserve">(1)列入金融行动特别工作组名单和欧盟名单的国家</w:t>
      </w:r>
    </w:p>
    <w:p>
      <w:pPr>
        <w:pStyle w:val="BodyText"/>
      </w:pPr>
      <w:r>
        <w:t xml:space="preserve">(2)对更多国家实施自主评估，确定每个国家面临的风险状况和威胁程度，并评估法律框架及其在八个领域的有效应用:</w:t>
      </w:r>
    </w:p>
    <w:p>
      <w:pPr>
        <w:pStyle w:val="BodyText"/>
      </w:pPr>
      <w:r>
        <w:t xml:space="preserve">a洗钱和恐怖融资的刑事定罪</w:t>
      </w:r>
    </w:p>
    <w:p>
      <w:pPr>
        <w:pStyle w:val="BodyText"/>
      </w:pPr>
      <w:r>
        <w:t xml:space="preserve">b客户尽职调查(CDD)要求，记录保存，并报告可疑交易</w:t>
      </w:r>
    </w:p>
    <w:p>
      <w:pPr>
        <w:pStyle w:val="BodyText"/>
      </w:pPr>
      <w:r>
        <w:t xml:space="preserve">c特定非金融行业须承担相同的客户尽职调查、记录保存和报告义务。</w:t>
      </w:r>
    </w:p>
    <w:p>
      <w:pPr>
        <w:pStyle w:val="BodyText"/>
      </w:pPr>
      <w:r>
        <w:t xml:space="preserve">d制裁应当有效、适当且具有劝戒效果。</w:t>
      </w:r>
    </w:p>
    <w:p>
      <w:pPr>
        <w:pStyle w:val="BodyText"/>
      </w:pPr>
      <w:r>
        <w:t xml:space="preserve">e各国必须确保落实有效监督。</w:t>
      </w:r>
    </w:p>
    <w:p>
      <w:pPr>
        <w:pStyle w:val="BodyText"/>
      </w:pPr>
      <w:r>
        <w:t xml:space="preserve">f国际合作</w:t>
      </w:r>
    </w:p>
    <w:p>
      <w:pPr>
        <w:pStyle w:val="BodyText"/>
      </w:pPr>
      <w:r>
        <w:t xml:space="preserve">g必须提供有关法人实体的受益所有人和法律安排的信息。</w:t>
      </w:r>
    </w:p>
    <w:p>
      <w:pPr>
        <w:pStyle w:val="BodyText"/>
      </w:pPr>
      <w:r>
        <w:t xml:space="preserve">h.实施有针对性的金融制裁(UN)，打击恐怖主义。</w:t>
      </w:r>
    </w:p>
    <w:p>
      <w:pPr>
        <w:pStyle w:val="BodyText"/>
      </w:pPr>
      <w:r>
        <w:t xml:space="preserve">第5号指令新增要求，在与高风险国家交易时应当实施简化增强尽职调查，包括:</w:t>
      </w:r>
    </w:p>
    <w:p>
      <w:pPr>
        <w:pStyle w:val="BodyText"/>
      </w:pPr>
      <w:r>
        <w:t xml:space="preserve">(1)收集有关客户、受益所有人和业务关系性质的补充信息，包括资金来源和财富来源</w:t>
      </w:r>
    </w:p>
    <w:p>
      <w:pPr>
        <w:pStyle w:val="BodyText"/>
      </w:pPr>
      <w:r>
        <w:t xml:space="preserve">(2)获得高级管理层对业务关系的批准</w:t>
      </w:r>
    </w:p>
    <w:p>
      <w:pPr>
        <w:pStyle w:val="BodyText"/>
      </w:pPr>
      <w:r>
        <w:t xml:space="preserve">(3)加强对这些实体的监控，包括获取预期交易或已执行交易的原因等相关信息</w:t>
      </w:r>
    </w:p>
    <w:p>
      <w:pPr>
        <w:pStyle w:val="BodyText"/>
      </w:pPr>
      <w:r>
        <w:t xml:space="preserve">④预付卡:第5号指令降低了预付卡匿名使用的门槛，实体店购物从250欧元降至150欧元，而线上购物则降至50欧元。</w:t>
      </w:r>
    </w:p>
    <w:p>
      <w:pPr>
        <w:pStyle w:val="BodyText"/>
      </w:pPr>
      <w:r>
        <w:t xml:space="preserve">⑤加强对政治公众人物的身份识别:第5号指令公布了从各成员国和经认证的国际组织收集的重要政治公众人物名单，借此引入更高效的方法，力求识别政治公众人物的身份。</w:t>
      </w:r>
    </w:p>
    <w:p>
      <w:pPr>
        <w:pStyle w:val="BodyText"/>
      </w:pPr>
      <w:r>
        <w:t xml:space="preserve">⑥扩大须承担反洗钱/反恐融资义务的部门和人员的范围:第5号指令将先前指令的适用范围扩大到以下部门和人员:</w:t>
      </w:r>
    </w:p>
    <w:p>
      <w:pPr>
        <w:pStyle w:val="BodyText"/>
      </w:pPr>
      <w:r>
        <w:t xml:space="preserve">(1)房地产经纪商</w:t>
      </w:r>
    </w:p>
    <w:p>
      <w:pPr>
        <w:pStyle w:val="BodyText"/>
      </w:pPr>
      <w:r>
        <w:t xml:space="preserve">(2)审计师、外部会计师和税务顾问反洗钱认证专家</w:t>
      </w:r>
    </w:p>
    <w:p>
      <w:pPr>
        <w:pStyle w:val="BodyText"/>
      </w:pPr>
      <w:r>
        <w:t xml:space="preserve">(3)艺术品交易商</w:t>
      </w:r>
    </w:p>
    <w:p>
      <w:pPr>
        <w:pStyle w:val="BodyText"/>
      </w:pPr>
      <w:r>
        <w:t xml:space="preserve">(4)托管钱包服务提供商</w:t>
      </w:r>
    </w:p>
    <w:p>
      <w:pPr>
        <w:pStyle w:val="BodyText"/>
      </w:pPr>
      <w:r>
        <w:t xml:space="preserve">⑦</w:t>
      </w:r>
      <w:r>
        <w:rPr>
          <w:b/>
        </w:rPr>
        <w:t xml:space="preserve">虚拟货币（如加密货币）与法定货币之间的兑换商需要采取反洗钱/反恐融资控制措施，并需要获得许可或进行注册，同时要接受有关部门的监管和监控。虚拟货币与虚拟货币之间的兑换不属于此类监管范围</w:t>
      </w:r>
      <w:r>
        <w:rPr>
          <w:b/>
        </w:rPr>
        <w:t xml:space="preserve"> </w:t>
      </w:r>
      <w:r>
        <w:rPr>
          <w:b/>
        </w:rPr>
        <w:t xml:space="preserve">。</w:t>
      </w:r>
    </w:p>
    <w:p>
      <w:pPr>
        <w:pStyle w:val="BodyText"/>
      </w:pPr>
      <w:r>
        <w:rPr>
          <w:b/>
        </w:rPr>
        <w:t xml:space="preserve">选项分析:</w:t>
      </w:r>
    </w:p>
    <w:p>
      <w:pPr>
        <w:pStyle w:val="BodyText"/>
      </w:pPr>
      <w:r>
        <w:t xml:space="preserve">A选项错误，4AMLD已规定数据保存5年，5AMLD未扩展。</w:t>
      </w:r>
    </w:p>
    <w:p>
      <w:pPr>
        <w:pStyle w:val="BodyText"/>
      </w:pPr>
      <w:r>
        <w:t xml:space="preserve">D选项错误，属欧盟安全政策，非5AMLD范畴。</w:t>
      </w:r>
    </w:p>
    <w:p>
      <w:pPr>
        <w:pStyle w:val="BodyText"/>
      </w:pPr>
      <w:r>
        <w:t xml:space="preserve">E选项错误，FIU信息共享是6AMLD内容（2020年实施）。</w:t>
      </w:r>
    </w:p>
    <w:p>
      <w:pPr>
        <w:pStyle w:val="BodyText"/>
      </w:pPr>
      <w:r>
        <w:t xml:space="preserve">11.在人寿保险业务方面，欧盟第3号指令规定，成员国可以允许在建立业务关系后对保单受益人进行身份验证，但需要在哪些事件之前?</w:t>
      </w:r>
    </w:p>
    <w:p>
      <w:pPr>
        <w:pStyle w:val="BodyText"/>
      </w:pPr>
      <w:r>
        <w:t xml:space="preserve">A.在接受购买保单的保费支付时或之前</w:t>
      </w:r>
    </w:p>
    <w:p>
      <w:pPr>
        <w:pStyle w:val="BodyText"/>
      </w:pPr>
      <w:r>
        <w:t xml:space="preserve">B.在保险公司向受益人签发保单时或之前</w:t>
      </w:r>
    </w:p>
    <w:p>
      <w:pPr>
        <w:pStyle w:val="BodyText"/>
      </w:pPr>
      <w:r>
        <w:t xml:space="preserve">C.在赔付时间或受益人打算行使保单上的既得权利之前</w:t>
      </w:r>
    </w:p>
    <w:p>
      <w:pPr>
        <w:pStyle w:val="BodyText"/>
      </w:pPr>
      <w:r>
        <w:t xml:space="preserve">D.在根据保单建立关系的30天或之前</w:t>
      </w:r>
    </w:p>
    <w:p>
      <w:pPr>
        <w:pStyle w:val="BodyText"/>
      </w:pPr>
      <w:r>
        <w:t xml:space="preserve">答案:C</w:t>
      </w:r>
    </w:p>
    <w:p>
      <w:pPr>
        <w:pStyle w:val="BodyText"/>
      </w:pPr>
      <w:r>
        <w:t xml:space="preserve">解析:</w:t>
      </w:r>
      <w:r>
        <w:rPr>
          <w:b/>
        </w:rPr>
        <w:t xml:space="preserve">具体知识点:</w:t>
      </w:r>
    </w:p>
    <w:p>
      <w:pPr>
        <w:pStyle w:val="BodyText"/>
      </w:pPr>
      <w:r>
        <w:t xml:space="preserve">第 3 号指令</w:t>
      </w:r>
    </w:p>
    <w:p>
      <w:pPr>
        <w:pStyle w:val="BodyText"/>
      </w:pPr>
      <w:r>
        <w:rPr>
          <w:b/>
        </w:rPr>
        <w:t xml:space="preserve">选项分析:</w:t>
      </w:r>
    </w:p>
    <w:p>
      <w:pPr>
        <w:pStyle w:val="BodyText"/>
      </w:pPr>
      <w:r>
        <w:t xml:space="preserve">A选项错误，保费缴纳时点过早，违背指令允许的延迟验证原则。</w:t>
      </w:r>
    </w:p>
    <w:p>
      <w:pPr>
        <w:pStyle w:val="BodyText"/>
      </w:pPr>
      <w:r>
        <w:t xml:space="preserve">B选项错误，保单签发时受益人可能尚未具体化（如未指定姓名的信托）。</w:t>
      </w:r>
    </w:p>
    <w:p>
      <w:pPr>
        <w:pStyle w:val="BodyText"/>
      </w:pPr>
      <w:r>
        <w:t xml:space="preserve">C选项正确，</w:t>
      </w:r>
      <w:r>
        <w:rPr>
          <w:b/>
        </w:rPr>
        <w:t xml:space="preserve">AMLD3第13(1)(b)条明确规定，允许成员国立法规定，对人寿保险受益人的身份验证可推迟至以下最早发生的事件时完成:</w:t>
      </w:r>
    </w:p>
    <w:p>
      <w:pPr>
        <w:pStyle w:val="BodyText"/>
      </w:pPr>
      <w:r>
        <w:rPr>
          <w:b/>
        </w:rPr>
        <w:t xml:space="preserve">a)</w:t>
      </w:r>
      <w:r>
        <w:rPr>
          <w:b/>
        </w:rPr>
        <w:t xml:space="preserve"> </w:t>
      </w:r>
      <w:r>
        <w:rPr>
          <w:b/>
        </w:rPr>
        <w:t xml:space="preserve">保险赔付发生时（如身故理赔、满期给付）、</w:t>
      </w:r>
    </w:p>
    <w:p>
      <w:pPr>
        <w:pStyle w:val="BodyText"/>
      </w:pPr>
      <w:r>
        <w:rPr>
          <w:b/>
        </w:rPr>
        <w:t xml:space="preserve">b)</w:t>
      </w:r>
      <w:r>
        <w:rPr>
          <w:b/>
        </w:rPr>
        <w:t xml:space="preserve"> </w:t>
      </w:r>
      <w:r>
        <w:rPr>
          <w:b/>
        </w:rPr>
        <w:t xml:space="preserve">受益人行使保单赋予的权利时（如退保、保单贷款、受益人变更）</w:t>
      </w:r>
      <w:r>
        <w:rPr>
          <w:b/>
        </w:rPr>
        <w:t xml:space="preserve"> </w:t>
      </w:r>
      <w:r>
        <w:rPr>
          <w:b/>
        </w:rPr>
        <w:t xml:space="preserve">。</w:t>
      </w:r>
    </w:p>
    <w:p>
      <w:pPr>
        <w:pStyle w:val="BodyText"/>
      </w:pPr>
      <w:r>
        <w:t xml:space="preserve">D选项错误，指令从未设定30天固定期限，采用事件触发标准。</w:t>
      </w:r>
    </w:p>
    <w:p>
      <w:pPr>
        <w:pStyle w:val="BodyText"/>
      </w:pPr>
      <w:r>
        <w:t xml:space="preserve">12.(多选题)欧盟第3号反洗钱指令适用于以下哪三类实体?（选择三个）</w:t>
      </w:r>
    </w:p>
    <w:p>
      <w:pPr>
        <w:pStyle w:val="BodyText"/>
      </w:pPr>
      <w:r>
        <w:t xml:space="preserve">A.金融机构</w:t>
      </w:r>
    </w:p>
    <w:p>
      <w:pPr>
        <w:pStyle w:val="BodyText"/>
      </w:pPr>
      <w:r>
        <w:t xml:space="preserve">B.辩护律师</w:t>
      </w:r>
    </w:p>
    <w:p>
      <w:pPr>
        <w:pStyle w:val="BodyText"/>
      </w:pPr>
      <w:r>
        <w:t xml:space="preserve">C.赌场</w:t>
      </w:r>
    </w:p>
    <w:p>
      <w:pPr>
        <w:pStyle w:val="BodyText"/>
      </w:pPr>
      <w:r>
        <w:t xml:space="preserve">D.房地产经纪商</w:t>
      </w:r>
    </w:p>
    <w:p>
      <w:pPr>
        <w:pStyle w:val="BodyText"/>
      </w:pPr>
      <w:r>
        <w:t xml:space="preserve">答案:A C D</w:t>
      </w:r>
    </w:p>
    <w:p>
      <w:pPr>
        <w:pStyle w:val="BodyText"/>
      </w:pPr>
      <w:r>
        <w:t xml:space="preserve">解析:</w:t>
      </w:r>
      <w:r>
        <w:rPr>
          <w:b/>
        </w:rPr>
        <w:t xml:space="preserve">具体知识点:</w:t>
      </w:r>
    </w:p>
    <w:p>
      <w:pPr>
        <w:pStyle w:val="BodyText"/>
      </w:pPr>
      <w:r>
        <w:t xml:space="preserve">第3号指令</w:t>
      </w:r>
    </w:p>
    <w:p>
      <w:pPr>
        <w:pStyle w:val="BodyText"/>
      </w:pPr>
      <w:r>
        <w:t xml:space="preserve">第 3 号指令适用于:</w:t>
      </w:r>
    </w:p>
    <w:p>
      <w:pPr>
        <w:pStyle w:val="BodyText"/>
      </w:pPr>
      <w:r>
        <w:t xml:space="preserve">• 信贷机构</w:t>
      </w:r>
    </w:p>
    <w:p>
      <w:pPr>
        <w:pStyle w:val="BodyText"/>
      </w:pPr>
      <w:r>
        <w:t xml:space="preserve">•</w:t>
      </w:r>
      <w:r>
        <w:rPr>
          <w:b/>
        </w:rPr>
        <w:t xml:space="preserve">金融机构</w:t>
      </w:r>
    </w:p>
    <w:p>
      <w:pPr>
        <w:pStyle w:val="BodyText"/>
      </w:pPr>
      <w:r>
        <w:t xml:space="preserve">• 审计师、外部会计师和税务顾问</w:t>
      </w:r>
    </w:p>
    <w:p>
      <w:pPr>
        <w:pStyle w:val="BodyText"/>
      </w:pPr>
      <w:r>
        <w:t xml:space="preserve">• 法律专业人员</w:t>
      </w:r>
    </w:p>
    <w:p>
      <w:pPr>
        <w:pStyle w:val="BodyText"/>
      </w:pPr>
      <w:r>
        <w:t xml:space="preserve">• 信托与公司服务提供商</w:t>
      </w:r>
    </w:p>
    <w:p>
      <w:pPr>
        <w:pStyle w:val="BodyText"/>
      </w:pPr>
      <w:r>
        <w:t xml:space="preserve">•</w:t>
      </w:r>
      <w:r>
        <w:rPr>
          <w:b/>
        </w:rPr>
        <w:t xml:space="preserve">房地产经纪商</w:t>
      </w:r>
    </w:p>
    <w:p>
      <w:pPr>
        <w:pStyle w:val="BodyText"/>
      </w:pPr>
      <w:r>
        <w:t xml:space="preserve">o 现金交易额超过 15,000 欧元的高价值商品经销商</w:t>
      </w:r>
    </w:p>
    <w:p>
      <w:pPr>
        <w:pStyle w:val="BodyText"/>
      </w:pPr>
      <w:r>
        <w:t xml:space="preserve">•</w:t>
      </w:r>
      <w:r>
        <w:rPr>
          <w:b/>
        </w:rPr>
        <w:t xml:space="preserve">赌场</w:t>
      </w:r>
    </w:p>
    <w:p>
      <w:pPr>
        <w:pStyle w:val="BodyText"/>
      </w:pPr>
      <w:r>
        <w:rPr>
          <w:b/>
        </w:rPr>
        <w:t xml:space="preserve">选项分析:</w:t>
      </w:r>
    </w:p>
    <w:p>
      <w:pPr>
        <w:pStyle w:val="BodyText"/>
      </w:pPr>
      <w:r>
        <w:t xml:space="preserve">A选项正确，</w:t>
      </w:r>
      <w:r>
        <w:rPr>
          <w:b/>
        </w:rPr>
        <w:t xml:space="preserve">金融机构（强制适用），包括银行、支付机构、电子货币发行商等，依据指令第2(1)条。</w:t>
      </w:r>
    </w:p>
    <w:p>
      <w:pPr>
        <w:pStyle w:val="BodyText"/>
      </w:pPr>
      <w:r>
        <w:t xml:space="preserve">示例:所有欧盟持牌银行必须执行客户尽职调查（CDD）。</w:t>
      </w:r>
    </w:p>
    <w:p>
      <w:pPr>
        <w:pStyle w:val="BodyText"/>
      </w:pPr>
      <w:r>
        <w:t xml:space="preserve">B选项错误，辩护律师在第 3 号指令确实是涵盖律师，但是仅在他们参与某些金融或房地产相关交易（如房产买卖、资金托管）时才适用（指令第2(1)(i)条）。但 “辩护律师在诉讼中的辩护角色” 是豁免的，不属于指令强制适用范围。因此辩护律师只有在特定情况下才适用，不是普遍覆盖。</w:t>
      </w:r>
    </w:p>
    <w:p>
      <w:pPr>
        <w:pStyle w:val="BodyText"/>
      </w:pPr>
      <w:r>
        <w:t xml:space="preserve">C选项正确，</w:t>
      </w:r>
      <w:r>
        <w:rPr>
          <w:b/>
        </w:rPr>
        <w:t xml:space="preserve">赌场（新增主体），根据指令第2(1)(f)条，赌场因现金密集特性被纳入，无论规模大小。</w:t>
      </w:r>
    </w:p>
    <w:p>
      <w:pPr>
        <w:pStyle w:val="BodyText"/>
      </w:pPr>
      <w:r>
        <w:t xml:space="preserve">监管重点:单笔交易≥2,000欧元需识别客户身份。</w:t>
      </w:r>
    </w:p>
    <w:p>
      <w:pPr>
        <w:pStyle w:val="BodyText"/>
      </w:pPr>
      <w:r>
        <w:t xml:space="preserve">D选项正确，</w:t>
      </w:r>
      <w:r>
        <w:rPr>
          <w:b/>
        </w:rPr>
        <w:t xml:space="preserve">房地产经纪商（新增主体）。依据指令第2(1)(e)条，涉及房产买卖中介时适用。阈值:单笔交易≥10,000欧元触发反洗钱义务。</w:t>
      </w:r>
    </w:p>
    <w:p>
      <w:pPr>
        <w:pStyle w:val="BodyText"/>
      </w:pPr>
      <w:r>
        <w:t xml:space="preserve">13.在欧盟第四指令中，纳入自然人或法人货品交易与收付现金款项之门槛降至多少?</w:t>
      </w:r>
    </w:p>
    <w:p>
      <w:pPr>
        <w:pStyle w:val="BodyText"/>
      </w:pPr>
      <w:r>
        <w:t xml:space="preserve">A.5，000欧元/美元</w:t>
      </w:r>
    </w:p>
    <w:p>
      <w:pPr>
        <w:pStyle w:val="BodyText"/>
      </w:pPr>
      <w:r>
        <w:t xml:space="preserve">B.10，000欧元/美元</w:t>
      </w:r>
    </w:p>
    <w:p>
      <w:pPr>
        <w:pStyle w:val="BodyText"/>
      </w:pPr>
      <w:r>
        <w:t xml:space="preserve">C.15，000欧元/美元</w:t>
      </w:r>
    </w:p>
    <w:p>
      <w:pPr>
        <w:pStyle w:val="BodyText"/>
      </w:pPr>
      <w:r>
        <w:t xml:space="preserve">D.20，000欧元/美元</w:t>
      </w:r>
    </w:p>
    <w:p>
      <w:pPr>
        <w:pStyle w:val="BodyText"/>
      </w:pPr>
      <w:r>
        <w:t xml:space="preserve">答案:B</w:t>
      </w:r>
    </w:p>
    <w:p>
      <w:pPr>
        <w:pStyle w:val="BodyText"/>
      </w:pPr>
      <w:r>
        <w:t xml:space="preserve">解析:</w:t>
      </w:r>
      <w:r>
        <w:rPr>
          <w:b/>
        </w:rPr>
        <w:t xml:space="preserve">具体知识点:</w:t>
      </w:r>
    </w:p>
    <w:p>
      <w:pPr>
        <w:pStyle w:val="BodyText"/>
      </w:pPr>
      <w:r>
        <w:t xml:space="preserve">第4号指令</w:t>
      </w:r>
    </w:p>
    <w:p>
      <w:pPr>
        <w:pStyle w:val="BodyText"/>
      </w:pPr>
      <w:r>
        <w:t xml:space="preserve">第4号指令与此前通过之指令的差别包括:</w:t>
      </w:r>
    </w:p>
    <w:p>
      <w:pPr>
        <w:pStyle w:val="BodyText"/>
      </w:pPr>
      <w:r>
        <w:t xml:space="preserve">• 将从事商品交易且支付或收取现金超过</w:t>
      </w:r>
      <w:r>
        <w:rPr>
          <w:b/>
        </w:rPr>
        <w:t xml:space="preserve">10,000欧元</w:t>
      </w:r>
      <w:r>
        <w:t xml:space="preserve">（此前为15,000</w:t>
      </w:r>
      <w:r>
        <w:t xml:space="preserve"> </w:t>
      </w:r>
      <w:r>
        <w:t xml:space="preserve">欧元）或以上的自然人和法人纳入监管。</w:t>
      </w:r>
    </w:p>
    <w:p>
      <w:pPr>
        <w:pStyle w:val="BodyText"/>
      </w:pPr>
      <w:r>
        <w:rPr>
          <w:b/>
        </w:rPr>
        <w:t xml:space="preserve">选项分析:</w:t>
      </w:r>
    </w:p>
    <w:p>
      <w:pPr>
        <w:pStyle w:val="BodyText"/>
      </w:pPr>
      <w:r>
        <w:t xml:space="preserve">B选项正确，4AMLD第11条</w:t>
      </w:r>
      <w:r>
        <w:t xml:space="preserve"> </w:t>
      </w:r>
      <w:r>
        <w:t xml:space="preserve">明确规定，对自然人或法人的商品交易现金收付，适用</w:t>
      </w:r>
      <w:r>
        <w:rPr>
          <w:b/>
        </w:rPr>
        <w:t xml:space="preserve">10,000欧元</w:t>
      </w:r>
      <w:r>
        <w:t xml:space="preserve">的CDD触发门槛（原3AMLD为15,000欧元）。</w:t>
      </w:r>
    </w:p>
    <w:p>
      <w:pPr>
        <w:pStyle w:val="BodyText"/>
      </w:pPr>
      <w:r>
        <w:rPr>
          <w:b/>
        </w:rPr>
        <w:t xml:space="preserve">目的:降低门槛以覆盖更多潜在洗钱风险交易。</w:t>
      </w:r>
    </w:p>
    <w:p>
      <w:pPr>
        <w:pStyle w:val="BodyText"/>
      </w:pPr>
      <w:r>
        <w:t xml:space="preserve">14.(多选题)下列关于欧盟第四洗钱反洗钱指令的选项中，哪三项是正确的?</w:t>
      </w:r>
    </w:p>
    <w:p>
      <w:pPr>
        <w:pStyle w:val="BodyText"/>
      </w:pPr>
      <w:r>
        <w:t xml:space="preserve">A.该指令:更新欧洲共同体的立法，确保与防制洗钱金融行动工作组织40项建议保持一致</w:t>
      </w:r>
    </w:p>
    <w:p>
      <w:pPr>
        <w:pStyle w:val="BodyText"/>
      </w:pPr>
      <w:r>
        <w:t xml:space="preserve">B.重申先前指令中的政治公众人物定义</w:t>
      </w:r>
    </w:p>
    <w:p>
      <w:pPr>
        <w:pStyle w:val="BodyText"/>
      </w:pPr>
      <w:r>
        <w:t xml:space="preserve">C.重申先前指令中的客户尽职调查相关规定，但包含了更多的细节，例如具体要求需识别受益所有人以及増加持续监控的要求</w:t>
      </w:r>
    </w:p>
    <w:p>
      <w:pPr>
        <w:pStyle w:val="BodyText"/>
      </w:pPr>
      <w:r>
        <w:t xml:space="preserve">D.包含对通汇关系和高阶管理层的新定义</w:t>
      </w:r>
    </w:p>
    <w:p>
      <w:pPr>
        <w:pStyle w:val="BodyText"/>
      </w:pPr>
      <w:r>
        <w:t xml:space="preserve">答案:A C D</w:t>
      </w:r>
    </w:p>
    <w:p>
      <w:pPr>
        <w:pStyle w:val="BodyText"/>
      </w:pPr>
      <w:r>
        <w:t xml:space="preserve">解析:</w:t>
      </w:r>
      <w:r>
        <w:rPr>
          <w:b/>
        </w:rPr>
        <w:t xml:space="preserve">具体知识点:</w:t>
      </w:r>
    </w:p>
    <w:p>
      <w:pPr>
        <w:pStyle w:val="BodyText"/>
      </w:pPr>
      <w:r>
        <w:t xml:space="preserve">第4号指令</w:t>
      </w:r>
    </w:p>
    <w:p>
      <w:pPr>
        <w:pStyle w:val="BodyText"/>
      </w:pPr>
      <w:r>
        <w:t xml:space="preserve">第4号指令与此前通过之指令的差别包括:</w:t>
      </w:r>
    </w:p>
    <w:p>
      <w:pPr>
        <w:pStyle w:val="BodyText"/>
      </w:pPr>
      <w:r>
        <w:t xml:space="preserve">• 将从事商品交易且支付或收取现金超过 10,000 欧元（此前为 15,000</w:t>
      </w:r>
      <w:r>
        <w:t xml:space="preserve"> </w:t>
      </w:r>
      <w:r>
        <w:t xml:space="preserve">欧元）或以上的自然人和法人纳入监管。</w:t>
      </w:r>
    </w:p>
    <w:p>
      <w:pPr>
        <w:pStyle w:val="BodyText"/>
      </w:pPr>
      <w:r>
        <w:t xml:space="preserve">• 义务主体的范围从单纯的赌场扩大至所有"博彩服务供应商"。</w:t>
      </w:r>
    </w:p>
    <w:p>
      <w:pPr>
        <w:pStyle w:val="BodyText"/>
      </w:pPr>
      <w:r>
        <w:t xml:space="preserve">• 转账金额如果超过 1,000 欧元，应进行客户尽职调查。</w:t>
      </w:r>
      <w:r>
        <w:t xml:space="preserve"> </w:t>
      </w:r>
      <w:r>
        <w:t xml:space="preserve">指令还提出了一些新定义，包括:</w:t>
      </w:r>
    </w:p>
    <w:p>
      <w:pPr>
        <w:pStyle w:val="BodyText"/>
      </w:pPr>
      <w:r>
        <w:t xml:space="preserve">o 代理关系</w:t>
      </w:r>
    </w:p>
    <w:p>
      <w:pPr>
        <w:pStyle w:val="BodyText"/>
      </w:pPr>
      <w:r>
        <w:t xml:space="preserve">o 政治公众人物的家属及关系密切人员</w:t>
      </w:r>
    </w:p>
    <w:p>
      <w:pPr>
        <w:pStyle w:val="BodyText"/>
      </w:pPr>
      <w:r>
        <w:t xml:space="preserve">o</w:t>
      </w:r>
      <w:r>
        <w:rPr>
          <w:b/>
        </w:rPr>
        <w:t xml:space="preserve">高级管理层</w:t>
      </w:r>
      <w:r>
        <w:t xml:space="preserve">及其他</w:t>
      </w:r>
    </w:p>
    <w:p>
      <w:pPr>
        <w:pStyle w:val="BodyText"/>
      </w:pPr>
      <w:r>
        <w:t xml:space="preserve">•</w:t>
      </w:r>
      <w:r>
        <w:t xml:space="preserve"> </w:t>
      </w:r>
      <w:r>
        <w:t xml:space="preserve">根据第四指令，直接或间接与纳税相关的犯罪均属于广义上的"刑事犯罪活动"，与修订版金融行动特别工作组建议一致。</w:t>
      </w:r>
    </w:p>
    <w:p>
      <w:pPr>
        <w:pStyle w:val="BodyText"/>
      </w:pPr>
      <w:r>
        <w:t xml:space="preserve">• 新指令还解释了"偶然性或有限金融活动"。</w:t>
      </w:r>
    </w:p>
    <w:p>
      <w:pPr>
        <w:pStyle w:val="BodyText"/>
      </w:pPr>
      <w:r>
        <w:t xml:space="preserve">•</w:t>
      </w:r>
      <w:r>
        <w:t xml:space="preserve"> </w:t>
      </w:r>
      <w:r>
        <w:t xml:space="preserve">欧洲委员会必须每两年提交一份报告，汇报对影响欧盟市场的洗钱和恐怖融资活动的风险评估结果。</w:t>
      </w:r>
    </w:p>
    <w:p>
      <w:pPr>
        <w:pStyle w:val="BodyText"/>
      </w:pPr>
      <w:r>
        <w:t xml:space="preserve">•</w:t>
      </w:r>
      <w:r>
        <w:t xml:space="preserve"> </w:t>
      </w:r>
      <w:r>
        <w:t xml:space="preserve">欧盟执行委员会还负责识别在反洗钱和反恐融资方面具有战略缺陷的第三国司法管辖区（即高风险第三国）。</w:t>
      </w:r>
    </w:p>
    <w:p>
      <w:pPr>
        <w:pStyle w:val="BodyText"/>
      </w:pPr>
      <w:r>
        <w:t xml:space="preserve">......</w:t>
      </w:r>
    </w:p>
    <w:p>
      <w:pPr>
        <w:pStyle w:val="BodyText"/>
      </w:pPr>
      <w:r>
        <w:rPr>
          <w:b/>
        </w:rPr>
        <w:t xml:space="preserve">选项分析:</w:t>
      </w:r>
    </w:p>
    <w:p>
      <w:pPr>
        <w:pStyle w:val="BodyText"/>
      </w:pPr>
      <w:r>
        <w:t xml:space="preserve">A选项正确，欧盟第四反洗钱指令的一个重要目的就是</w:t>
      </w:r>
      <w:r>
        <w:rPr>
          <w:b/>
        </w:rPr>
        <w:t xml:space="preserve">更新和完善欧盟的反洗钱立法，使其与金融行动特别工作组（FATF）的建议相协调和一致</w:t>
      </w:r>
      <w:r>
        <w:rPr>
          <w:b/>
        </w:rPr>
        <w:t xml:space="preserve"> </w:t>
      </w:r>
      <w:r>
        <w:rPr>
          <w:b/>
        </w:rPr>
        <w:t xml:space="preserve">，</w:t>
      </w:r>
      <w:r>
        <w:t xml:space="preserve">以提高欧盟成员国在反洗钱和反恐融资方面的标准和有效性，该选项正确。</w:t>
      </w:r>
    </w:p>
    <w:p>
      <w:pPr>
        <w:pStyle w:val="BodyText"/>
      </w:pPr>
      <w:r>
        <w:t xml:space="preserve">B.选项错误，重申先前指令中的政治公众人物定义:欧盟第四反洗钱指令对政治公众人物（PEPs）的属及关系密切人员定义进行了修订和强化。它要求金融机构对</w:t>
      </w:r>
      <w:r>
        <w:t xml:space="preserve"> </w:t>
      </w:r>
      <w:r>
        <w:t xml:space="preserve">PEPs 采取更严格的客户尽职调查措施，所以该选项错误。</w:t>
      </w:r>
    </w:p>
    <w:p>
      <w:pPr>
        <w:pStyle w:val="BodyText"/>
      </w:pPr>
      <w:r>
        <w:t xml:space="preserve">C选项正确，重申先前指令中的</w:t>
      </w:r>
      <w:r>
        <w:rPr>
          <w:b/>
        </w:rPr>
        <w:t xml:space="preserve">客户尽职调查</w:t>
      </w:r>
      <w:r>
        <w:t xml:space="preserve">相关规定，但包含了更多的细节，例如具体要求需识别受益所有人以及增加持续监控的要求:欧盟第四反洗钱指令确实进一步细化和强化了客户尽职调查的要求，包括明确要求金融机构识别客户的受益所有人，并加强对客户业务关系的持续监控等，该选项正确。</w:t>
      </w:r>
    </w:p>
    <w:p>
      <w:pPr>
        <w:pStyle w:val="BodyText"/>
      </w:pPr>
      <w:r>
        <w:t xml:space="preserve">D选项正确，包含对</w:t>
      </w:r>
      <w:r>
        <w:rPr>
          <w:b/>
        </w:rPr>
        <w:t xml:space="preserve">通汇关系和高阶管理层的新定义</w:t>
      </w:r>
      <w:r>
        <w:t xml:space="preserve">:欧盟第四反洗钱指令对一些关键概念和术语进行了更新和明确，其中包括对通汇关系和高阶管理层等的新定义，以更好地适应反洗钱工作的实际需要和监管要求，该选项正确。</w:t>
      </w:r>
    </w:p>
    <w:p>
      <w:pPr>
        <w:pStyle w:val="BodyText"/>
      </w:pPr>
      <w:r>
        <w:t xml:space="preserve">15.一位学校老师最近在一家大银行开立了一个私人银行账户。客户表示年收入为45000欧元，并将其财富来源列为150万欧元的亲属遗产。客户计划投资每年从无记名债券中赚取的12000至15000欧元。客户经理核实了客户的身份，并在开户前将上述所有信息记录在账户文件中。在对账户的例行审查中，一家钻石经销商进行了几笔电子资金转账，每笔金额超过500万欧元。客户经理还注意到，在每一个交易中，客户都会立即将资金转入香港的银行账户。以下哪项适合反洗钱专家采取的措施?</w:t>
      </w:r>
    </w:p>
    <w:p>
      <w:pPr>
        <w:pStyle w:val="BodyText"/>
      </w:pPr>
      <w:r>
        <w:t xml:space="preserve">A.安排客户与法律部门会面</w:t>
      </w:r>
    </w:p>
    <w:p>
      <w:pPr>
        <w:pStyle w:val="BodyText"/>
      </w:pPr>
      <w:r>
        <w:t xml:space="preserve">B.联系主管部门和当地执法部门</w:t>
      </w:r>
    </w:p>
    <w:p>
      <w:pPr>
        <w:pStyle w:val="BodyText"/>
      </w:pPr>
      <w:r>
        <w:t xml:space="preserve">C.暂停客户通过银行进行进一步的交易</w:t>
      </w:r>
    </w:p>
    <w:p>
      <w:pPr>
        <w:pStyle w:val="BodyText"/>
      </w:pPr>
      <w:r>
        <w:t xml:space="preserve">D.调查交易的来源和目的</w:t>
      </w:r>
    </w:p>
    <w:p>
      <w:pPr>
        <w:pStyle w:val="BodyText"/>
      </w:pPr>
      <w:r>
        <w:t xml:space="preserve">答案:B</w:t>
      </w:r>
    </w:p>
    <w:p>
      <w:pPr>
        <w:pStyle w:val="BodyText"/>
      </w:pPr>
      <w:r>
        <w:t xml:space="preserve">解析:</w:t>
      </w:r>
      <w:r>
        <w:rPr>
          <w:b/>
        </w:rPr>
        <w:t xml:space="preserve">具体知识点:</w:t>
      </w:r>
    </w:p>
    <w:p>
      <w:pPr>
        <w:pStyle w:val="BodyText"/>
      </w:pPr>
      <w:r>
        <w:t xml:space="preserve">第4号指令</w:t>
      </w:r>
    </w:p>
    <w:p>
      <w:pPr>
        <w:pStyle w:val="BodyText"/>
      </w:pPr>
      <w:r>
        <w:t xml:space="preserve">从国家层面看，该指令要求各成员国执行反洗钱 /</w:t>
      </w:r>
      <w:r>
        <w:t xml:space="preserve"> </w:t>
      </w:r>
      <w:r>
        <w:t xml:space="preserve">反恐融资风险评估，并</w:t>
      </w:r>
      <w:r>
        <w:rPr>
          <w:b/>
        </w:rPr>
        <w:t xml:space="preserve">指定主管部门</w:t>
      </w:r>
      <w:r>
        <w:t xml:space="preserve">。此外，各成员国必须确保责任主体采取适当措施，识别并评估各自面临的风险。该指令提供了潜在的较高和较低风险的非详尽清单，为各国的风险评估提供指导，这些清单的依据包括:</w:t>
      </w:r>
    </w:p>
    <w:p>
      <w:pPr>
        <w:pStyle w:val="BodyText"/>
      </w:pPr>
      <w:r>
        <w:t xml:space="preserve">o 客户风险因素，例如公共管理机构与现金密集型企业</w:t>
      </w:r>
    </w:p>
    <w:p>
      <w:pPr>
        <w:pStyle w:val="BodyText"/>
      </w:pPr>
      <w:r>
        <w:t xml:space="preserve">o 产品和服务、交易和销售渠道的风险因素，例如保费较低的保单与私人银行业务</w:t>
      </w:r>
    </w:p>
    <w:p>
      <w:pPr>
        <w:pStyle w:val="BodyText"/>
      </w:pPr>
      <w:r>
        <w:t xml:space="preserve">o 地理风险因素，例如成员国与受制裁国家。</w:t>
      </w:r>
    </w:p>
    <w:p>
      <w:pPr>
        <w:pStyle w:val="BodyText"/>
      </w:pPr>
      <w:r>
        <w:rPr>
          <w:b/>
        </w:rPr>
        <w:t xml:space="preserve">选项分析:</w:t>
      </w:r>
    </w:p>
    <w:p>
      <w:pPr>
        <w:pStyle w:val="BodyText"/>
      </w:pPr>
      <w:r>
        <w:t xml:space="preserve">A选项错误，安排客户与法律部门会面可能有助于向客户传达银行对相关交易的关注，并从法律角度对客户进行一定的警示和询问。然而，这种方式相对较为温和，可能无法直接解决当前面临的潜在洗钱风险问题。在客户可能涉及重大可疑交易的情况下，仅仅安排会面可能不足以采取及时有效的措施来防止资金转移或销毁证据等情况发生。</w:t>
      </w:r>
    </w:p>
    <w:p>
      <w:pPr>
        <w:pStyle w:val="BodyText"/>
      </w:pPr>
      <w:r>
        <w:t xml:space="preserve">B选项正确，</w:t>
      </w:r>
      <w:r>
        <w:rPr>
          <w:b/>
        </w:rPr>
        <w:t xml:space="preserve">当发现客户账户存在与正常收入水平和财富来源不相符的巨额资金交易，且资金流向存在可疑（如立即转入香港的银行账户）等情况时，联系主管部门和当地执法部门是较为恰当的做法。</w:t>
      </w:r>
      <w:r>
        <w:t xml:space="preserve">银行有义务向相关部门报告可疑交易，以便专业的执法机构凭借其权力和资源进行深入调查。这样可以及时阻止可能的洗钱活动，保护金融体系的安全和稳定。</w:t>
      </w:r>
    </w:p>
    <w:p>
      <w:pPr>
        <w:pStyle w:val="BodyText"/>
      </w:pPr>
      <w:r>
        <w:t xml:space="preserve">C选项错误，暂停客户交易可以在一定程度上防止资金的进一步异常流动，保护银行和其他客户的利益。但这一措施也有局限性，一方面可能会引发客户的不满和质疑，需要银行有充分的理由和依据来支撑该决定;另一方面，仅仅暂停交易并不能从根本上解决洗钱嫌疑问题，还需要进一步的调查和处理。</w:t>
      </w:r>
    </w:p>
    <w:p>
      <w:pPr>
        <w:pStyle w:val="BodyText"/>
      </w:pPr>
      <w:r>
        <w:t xml:space="preserve">D选项错误，调查交易的来源和目的是反洗钱工作中的重要环节，银行确实应该对可疑交易进行深入调查。然而，在这种涉及巨额资金且高度可疑的情况下，银行自身的调查能力可能有限。仅仅依靠银行内部调查可能无法获取足够的证据和信息，而且可能会耽误时间，导致资金被转移或销毁证据等风险增加。</w:t>
      </w:r>
    </w:p>
    <w:p>
      <w:pPr>
        <w:pStyle w:val="BodyText"/>
      </w:pPr>
      <w:r>
        <w:t xml:space="preserve">16.(多选题)在评估客户的风险评级时，考虑了哪些风险因素?（选择三个）</w:t>
      </w:r>
    </w:p>
    <w:p>
      <w:pPr>
        <w:pStyle w:val="BodyText"/>
      </w:pPr>
      <w:r>
        <w:t xml:space="preserve">A.就业风险</w:t>
      </w:r>
    </w:p>
    <w:p>
      <w:pPr>
        <w:pStyle w:val="BodyText"/>
      </w:pPr>
      <w:r>
        <w:t xml:space="preserve">B.地理风险</w:t>
      </w:r>
    </w:p>
    <w:p>
      <w:pPr>
        <w:pStyle w:val="BodyText"/>
      </w:pPr>
      <w:r>
        <w:t xml:space="preserve">C.客户风险</w:t>
      </w:r>
    </w:p>
    <w:p>
      <w:pPr>
        <w:pStyle w:val="BodyText"/>
      </w:pPr>
      <w:r>
        <w:t xml:space="preserve">D.信用风险</w:t>
      </w:r>
    </w:p>
    <w:p>
      <w:pPr>
        <w:pStyle w:val="BodyText"/>
      </w:pPr>
      <w:r>
        <w:t xml:space="preserve">E.欺诈风险</w:t>
      </w:r>
    </w:p>
    <w:p>
      <w:pPr>
        <w:pStyle w:val="BodyText"/>
      </w:pPr>
      <w:r>
        <w:t xml:space="preserve">F.产品风险</w:t>
      </w:r>
    </w:p>
    <w:p>
      <w:pPr>
        <w:pStyle w:val="BodyText"/>
      </w:pPr>
      <w:r>
        <w:t xml:space="preserve">答案:B C F</w:t>
      </w:r>
    </w:p>
    <w:p>
      <w:pPr>
        <w:pStyle w:val="BodyText"/>
      </w:pPr>
      <w:r>
        <w:t xml:space="preserve">解析:</w:t>
      </w:r>
      <w:r>
        <w:rPr>
          <w:b/>
        </w:rPr>
        <w:t xml:space="preserve">具体知识点:</w:t>
      </w:r>
    </w:p>
    <w:p>
      <w:pPr>
        <w:pStyle w:val="BodyText"/>
      </w:pPr>
      <w:r>
        <w:t xml:space="preserve">第4号指令</w:t>
      </w:r>
    </w:p>
    <w:p>
      <w:pPr>
        <w:pStyle w:val="BodyText"/>
      </w:pPr>
      <w:r>
        <w:t xml:space="preserve">从国家层面看，该指令要求各成员国执行反洗钱 /</w:t>
      </w:r>
      <w:r>
        <w:t xml:space="preserve"> </w:t>
      </w:r>
      <w:r>
        <w:t xml:space="preserve">反恐融资风险评估，并指定主管部门。此外，</w:t>
      </w:r>
      <w:r>
        <w:t xml:space="preserve"> </w:t>
      </w:r>
      <w:r>
        <w:t xml:space="preserve">各成员国必须确保责任主体采取适当措施，识别并评估各自面临的风险。该指令提供了潜在的较高和较低风险的非详尽清单，为各国的风险评估提供指导，这些清单的依据包括:</w:t>
      </w:r>
    </w:p>
    <w:p>
      <w:pPr>
        <w:pStyle w:val="BodyText"/>
      </w:pPr>
      <w:r>
        <w:t xml:space="preserve">o</w:t>
      </w:r>
      <w:r>
        <w:rPr>
          <w:b/>
        </w:rPr>
        <w:t xml:space="preserve">客户风险因素</w:t>
      </w:r>
      <w:r>
        <w:t xml:space="preserve">（C选项）</w:t>
      </w:r>
      <w:r>
        <w:t xml:space="preserve"> </w:t>
      </w:r>
      <w:r>
        <w:t xml:space="preserve">，例如公共管理机构与现金密集型企业</w:t>
      </w:r>
    </w:p>
    <w:p>
      <w:pPr>
        <w:pStyle w:val="BodyText"/>
      </w:pPr>
      <w:r>
        <w:t xml:space="preserve">o</w:t>
      </w:r>
      <w:r>
        <w:rPr>
          <w:b/>
        </w:rPr>
        <w:t xml:space="preserve">产品和服务</w:t>
      </w:r>
      <w:r>
        <w:t xml:space="preserve">（F选项）</w:t>
      </w:r>
      <w:r>
        <w:t xml:space="preserve"> </w:t>
      </w:r>
      <w:r>
        <w:t xml:space="preserve">、交易和销售渠道的风险因素，例如保费较低的保单与私人银行业务</w:t>
      </w:r>
    </w:p>
    <w:p>
      <w:pPr>
        <w:pStyle w:val="BodyText"/>
      </w:pPr>
      <w:r>
        <w:t xml:space="preserve">o</w:t>
      </w:r>
      <w:r>
        <w:rPr>
          <w:b/>
        </w:rPr>
        <w:t xml:space="preserve">地理风险因素</w:t>
      </w:r>
      <w:r>
        <w:t xml:space="preserve">（B选项）</w:t>
      </w:r>
      <w:r>
        <w:t xml:space="preserve"> </w:t>
      </w:r>
      <w:r>
        <w:t xml:space="preserve">，例如成员国与受制裁国家。</w:t>
      </w:r>
    </w:p>
    <w:p>
      <w:pPr>
        <w:pStyle w:val="BodyText"/>
      </w:pPr>
      <w:r>
        <w:rPr>
          <w:b/>
        </w:rPr>
        <w:t xml:space="preserve">选项分析:</w:t>
      </w:r>
    </w:p>
    <w:p>
      <w:pPr>
        <w:pStyle w:val="BodyText"/>
      </w:pPr>
      <w:r>
        <w:t xml:space="preserve">A选项错误，就业风险 适用于信用评估，属于信用风险范畴，与AML关联性弱。</w:t>
      </w:r>
    </w:p>
    <w:p>
      <w:pPr>
        <w:pStyle w:val="BodyText"/>
      </w:pPr>
      <w:r>
        <w:t xml:space="preserve">D选项错误，信用风险适用于贷款审批，影响偿债能力，但非洗钱核心风险。</w:t>
      </w:r>
    </w:p>
    <w:p>
      <w:pPr>
        <w:pStyle w:val="BodyText"/>
      </w:pPr>
      <w:r>
        <w:t xml:space="preserve">E选项错误，欺诈风险</w:t>
      </w:r>
      <w:r>
        <w:t xml:space="preserve"> </w:t>
      </w:r>
      <w:r>
        <w:t xml:space="preserve">适用于操作风险，虽与犯罪相关，但属于事后检测而非事前评级。</w:t>
      </w:r>
    </w:p>
    <w:p>
      <w:pPr>
        <w:pStyle w:val="BodyText"/>
      </w:pPr>
      <w:r>
        <w:t xml:space="preserve">17.哪项法规要求欧盟成员国艺术品市场参与者，向监管机关注册立案，对于洗钱与资助恐怖活动之威胁，执行风险基础法?</w:t>
      </w:r>
    </w:p>
    <w:p>
      <w:pPr>
        <w:pStyle w:val="BodyText"/>
      </w:pPr>
      <w:r>
        <w:t xml:space="preserve">A.2019年负责艺术品市场指南</w:t>
      </w:r>
    </w:p>
    <w:p>
      <w:pPr>
        <w:pStyle w:val="BodyText"/>
      </w:pPr>
      <w:r>
        <w:t xml:space="preserve">B.防制洗钱金融行动工作组织40项建议</w:t>
      </w:r>
    </w:p>
    <w:p>
      <w:pPr>
        <w:pStyle w:val="BodyText"/>
      </w:pPr>
      <w:r>
        <w:t xml:space="preserve">C.2020年反洗钱法</w:t>
      </w:r>
    </w:p>
    <w:p>
      <w:pPr>
        <w:pStyle w:val="BodyText"/>
      </w:pPr>
      <w:r>
        <w:t xml:space="preserve">D.欧盟第五洗钱防制指令</w:t>
      </w:r>
    </w:p>
    <w:p>
      <w:pPr>
        <w:pStyle w:val="BodyText"/>
      </w:pPr>
      <w:r>
        <w:t xml:space="preserve">答案:D</w:t>
      </w:r>
    </w:p>
    <w:p>
      <w:pPr>
        <w:pStyle w:val="BodyText"/>
      </w:pPr>
      <w:r>
        <w:t xml:space="preserve">解析:</w:t>
      </w:r>
      <w:r>
        <w:rPr>
          <w:b/>
        </w:rPr>
        <w:t xml:space="preserve">具体知识点:</w:t>
      </w:r>
    </w:p>
    <w:p>
      <w:pPr>
        <w:pStyle w:val="BodyText"/>
      </w:pPr>
      <w:r>
        <w:t xml:space="preserve">第5号指令</w:t>
      </w:r>
    </w:p>
    <w:p>
      <w:pPr>
        <w:pStyle w:val="BodyText"/>
      </w:pPr>
      <w:r>
        <w:t xml:space="preserve">• </w:t>
      </w:r>
      <w:r>
        <w:rPr>
          <w:b/>
        </w:rPr>
        <w:t xml:space="preserve">扩大须承担反洗钱/反恐融资义务的部门和人员的范围:</w:t>
      </w:r>
      <w:r>
        <w:t xml:space="preserve">第5号指令将先前指令的适用范围扩大到以下部门和人员:</w:t>
      </w:r>
    </w:p>
    <w:p>
      <w:pPr>
        <w:pStyle w:val="BodyText"/>
      </w:pPr>
      <w:r>
        <w:t xml:space="preserve">o 房地产经纪商</w:t>
      </w:r>
    </w:p>
    <w:p>
      <w:pPr>
        <w:pStyle w:val="BodyText"/>
      </w:pPr>
      <w:r>
        <w:t xml:space="preserve">o 审计师、外部会计师和税务顾问</w:t>
      </w:r>
    </w:p>
    <w:p>
      <w:pPr>
        <w:pStyle w:val="BodyText"/>
      </w:pPr>
      <w:r>
        <w:t xml:space="preserve">o</w:t>
      </w:r>
      <w:r>
        <w:rPr>
          <w:b/>
        </w:rPr>
        <w:t xml:space="preserve">艺术品交易商</w:t>
      </w:r>
    </w:p>
    <w:p>
      <w:pPr>
        <w:pStyle w:val="BodyText"/>
      </w:pPr>
      <w:r>
        <w:t xml:space="preserve">o 托管钱包服务提供商</w:t>
      </w:r>
    </w:p>
    <w:p>
      <w:pPr>
        <w:pStyle w:val="BodyText"/>
      </w:pPr>
      <w:r>
        <w:rPr>
          <w:b/>
        </w:rPr>
        <w:t xml:space="preserve">选项分析:</w:t>
      </w:r>
    </w:p>
    <w:p>
      <w:pPr>
        <w:pStyle w:val="BodyText"/>
      </w:pPr>
      <w:r>
        <w:t xml:space="preserve">A选项错误，2019年负责艺术品市场指南非法律文件，可能是行业自律指引，无强制力。</w:t>
      </w:r>
    </w:p>
    <w:p>
      <w:pPr>
        <w:pStyle w:val="BodyText"/>
      </w:pPr>
      <w:r>
        <w:t xml:space="preserve">B选项错误，FATF</w:t>
      </w:r>
      <w:r>
        <w:t xml:space="preserve"> </w:t>
      </w:r>
      <w:r>
        <w:t xml:space="preserve">40项建议虽建议监管艺术品市场（建议第22条），但需通过国内法转化（如5AMLD落实该建议）。</w:t>
      </w:r>
    </w:p>
    <w:p>
      <w:pPr>
        <w:pStyle w:val="BodyText"/>
      </w:pPr>
      <w:r>
        <w:t xml:space="preserve">C选项错误，2020年反洗钱法，欧盟层面无此名称法律，各国转化5AMLD的国内法可能用类似名称（如德国《2020年反洗钱法》）。</w:t>
      </w:r>
    </w:p>
    <w:p>
      <w:pPr>
        <w:pStyle w:val="BodyText"/>
      </w:pPr>
      <w:r>
        <w:t xml:space="preserve">D选项正确，</w:t>
      </w:r>
      <w:r>
        <w:rPr>
          <w:b/>
        </w:rPr>
        <w:t xml:space="preserve">5AMLD（2018年通过，2020年实施）首次将艺术品交易商（单笔交易≥10,000欧元）和艺术品仓库纳入"义务实体"，要求向监管机关注册（如各国金融情报机构/FIU）、执行客户尽职调查（CDD）和可疑交易报告（STR）</w:t>
      </w:r>
      <w:r>
        <w:rPr>
          <w:b/>
        </w:rPr>
        <w:t xml:space="preserve"> </w:t>
      </w:r>
      <w:r>
        <w:rPr>
          <w:b/>
        </w:rPr>
        <w:t xml:space="preserve">。风险为本方法是强制艺术品市场参与者根据交易金额、客户背景（如是否涉及PEPs）、艺术品来源（如冲突地区）评估风险。</w:t>
      </w:r>
    </w:p>
    <w:p>
      <w:pPr>
        <w:pStyle w:val="BodyText"/>
      </w:pPr>
      <w:r>
        <w:t xml:space="preserve">18.(多选题)欧盟第六次反洗钱指令（6ALD）包含以下哪项内容?</w:t>
      </w:r>
    </w:p>
    <w:p>
      <w:pPr>
        <w:pStyle w:val="BodyText"/>
      </w:pPr>
      <w:r>
        <w:t xml:space="preserve">A.将AML监管范围扩展到众筹平台和职业足球俱乐部</w:t>
      </w:r>
    </w:p>
    <w:p>
      <w:pPr>
        <w:pStyle w:val="BodyText"/>
      </w:pPr>
      <w:r>
        <w:t xml:space="preserve">B.取消了欧洲委员会进行风险评估的要求</w:t>
      </w:r>
    </w:p>
    <w:p>
      <w:pPr>
        <w:pStyle w:val="BodyText"/>
      </w:pPr>
      <w:r>
        <w:t xml:space="preserve">C.创建了一个中央欧盟监管机构来打击洗钱</w:t>
      </w:r>
    </w:p>
    <w:p>
      <w:pPr>
        <w:pStyle w:val="BodyText"/>
      </w:pPr>
      <w:r>
        <w:t xml:space="preserve">D.加强了有关提交至中央实益所有权登记处的数据准确性</w:t>
      </w:r>
    </w:p>
    <w:p>
      <w:pPr>
        <w:pStyle w:val="BodyText"/>
      </w:pPr>
      <w:r>
        <w:t xml:space="preserve">答案:C D</w:t>
      </w:r>
    </w:p>
    <w:p>
      <w:pPr>
        <w:pStyle w:val="BodyText"/>
      </w:pPr>
      <w:r>
        <w:t xml:space="preserve">解析:【2025真题】</w:t>
      </w:r>
    </w:p>
    <w:p>
      <w:pPr>
        <w:pStyle w:val="BodyText"/>
      </w:pPr>
      <w:r>
        <w:rPr>
          <w:b/>
        </w:rPr>
        <w:t xml:space="preserve">具体知识点:</w:t>
      </w:r>
    </w:p>
    <w:p>
      <w:pPr>
        <w:pStyle w:val="BodyText"/>
      </w:pPr>
      <w:r>
        <w:t xml:space="preserve">第6号指令</w:t>
      </w:r>
    </w:p>
    <w:p>
      <w:pPr>
        <w:pStyle w:val="BodyText"/>
      </w:pPr>
      <w:r>
        <w:br/>
      </w:r>
    </w:p>
    <w:p>
      <w:pPr>
        <w:pStyle w:val="BodyText"/>
      </w:pPr>
      <w:r>
        <w:rPr>
          <w:b/>
        </w:rPr>
        <w:t xml:space="preserve">选项分析:</w:t>
      </w:r>
    </w:p>
    <w:p>
      <w:pPr>
        <w:pStyle w:val="BodyText"/>
      </w:pPr>
      <w:r>
        <w:t xml:space="preserve">A选项错误。6AMLD</w:t>
      </w:r>
      <w:r>
        <w:t xml:space="preserve"> </w:t>
      </w:r>
      <w:r>
        <w:t xml:space="preserve">未新增监管行业，此类扩展是5AMLD的内容（如虚拟货币、艺术品交易商）。</w:t>
      </w:r>
    </w:p>
    <w:p>
      <w:pPr>
        <w:pStyle w:val="BodyText"/>
      </w:pPr>
      <w:r>
        <w:t xml:space="preserve">B选项错误。6AMLD</w:t>
      </w:r>
      <w:r>
        <w:t xml:space="preserve"> </w:t>
      </w:r>
      <w:r>
        <w:t xml:space="preserve">未取消风险评估义务，反而强化了成员国对高风险领域的监管责任。</w:t>
      </w:r>
    </w:p>
    <w:p>
      <w:pPr>
        <w:pStyle w:val="BodyText"/>
      </w:pPr>
      <w:r>
        <w:t xml:space="preserve">C选项正确，最新版中文教材V6.51中“第6号指令”进行了根本性变化。它不再仅仅指代2018年通过、主要协调刑法的《第(EU) 2018/1673号指令》（即V6.5版教材的6AMLD）。相反，更新后的6AMLD为一个正在立法进程中、旨在彻底改革欧盟反洗钱监管体系的“全新框架”。这个新框架的核心目标之一就是“</w:t>
      </w:r>
      <w:r>
        <w:rPr>
          <w:b/>
        </w:rPr>
        <w:t xml:space="preserve">建立一个中央机构，即欧盟反洗钱局（AMLA），负责监督所有反洗钱和反恐融资监管工作</w:t>
      </w:r>
      <w:r>
        <w:t xml:space="preserve">”。</w:t>
      </w:r>
    </w:p>
    <w:p>
      <w:pPr>
        <w:pStyle w:val="BodyText"/>
      </w:pPr>
      <w:r>
        <w:t xml:space="preserve">D选项正确，</w:t>
      </w:r>
      <w:r>
        <w:rPr>
          <w:b/>
        </w:rPr>
        <w:t xml:space="preserve">6AMLD 明确要求成员国确保中央实益所有权登记处（UBO</w:t>
      </w:r>
      <w:r>
        <w:rPr>
          <w:b/>
        </w:rPr>
        <w:t xml:space="preserve"> </w:t>
      </w:r>
      <w:r>
        <w:rPr>
          <w:b/>
        </w:rPr>
        <w:t xml:space="preserve">Register）的数据准确、最新且可验证，以增强透明度，打击匿名壳公司洗钱。是6AMLD的核心措施之一，旨在弥补此前指令（如5AMLD）的执行漏洞</w:t>
      </w:r>
      <w:r>
        <w:rPr>
          <w:b/>
        </w:rPr>
        <w:t xml:space="preserve"> </w:t>
      </w:r>
      <w:r>
        <w:rPr>
          <w:b/>
        </w:rP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2026-06-25T02:36:02Z</dcterms:created>
  <dcterms:modified xsi:type="dcterms:W3CDTF">2026-06-25T02:36:02Z</dcterms:modified>
</cp:coreProperties>
</file>

<file path=docProps/custom.xml><?xml version="1.0" encoding="utf-8"?>
<Properties xmlns="http://schemas.openxmlformats.org/officeDocument/2006/custom-properties" xmlns:vt="http://schemas.openxmlformats.org/officeDocument/2006/docPropsVTypes"/>
</file>