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364df2101c5bffc193cf646f6e9f5186f95229"/>
      <w:r>
        <w:t xml:space="preserve">中文版CAMS真题（V6考纲）-137-导出题目-2026-06-25-10-42-32</w:t>
      </w:r>
      <w:bookmarkEnd w:id="20"/>
    </w:p>
    <w:p>
      <w:pPr>
        <w:pStyle w:val="FirstParagraph"/>
      </w:pPr>
      <w:r>
        <w:t xml:space="preserve">1.(多选题)(多选题)</w:t>
      </w:r>
      <w:r>
        <w:t xml:space="preserve"> </w:t>
      </w:r>
      <w:r>
        <w:t xml:space="preserve">根据沃尔夫斯堡代理银行原则，空壳银行符合哪三个标准?（选择三个）</w:t>
      </w:r>
    </w:p>
    <w:p>
      <w:pPr>
        <w:pStyle w:val="BodyText"/>
      </w:pPr>
      <w:r>
        <w:t xml:space="preserve">A.未在其被授权开展业务的司法管辖区内的固定地址开展业务</w:t>
      </w:r>
    </w:p>
    <w:p>
      <w:pPr>
        <w:pStyle w:val="BodyText"/>
      </w:pPr>
      <w:r>
        <w:t xml:space="preserve">B.在其被授权在某固定地址开展业务或维护运营记录的地方，却未雇佣一名或多名个人</w:t>
      </w:r>
    </w:p>
    <w:p>
      <w:pPr>
        <w:pStyle w:val="BodyText"/>
      </w:pPr>
      <w:r>
        <w:t xml:space="preserve">C.它不受要求实施反洗钱计划的反洗钱法律的约束</w:t>
      </w:r>
    </w:p>
    <w:p>
      <w:pPr>
        <w:pStyle w:val="BodyText"/>
      </w:pPr>
      <w:r>
        <w:t xml:space="preserve">D.它不受授权其开展银行业务的银行管理局的检查</w:t>
      </w:r>
    </w:p>
    <w:p>
      <w:pPr>
        <w:pStyle w:val="BodyText"/>
      </w:pPr>
      <w:r>
        <w:t xml:space="preserve">答案:A B D</w:t>
      </w:r>
    </w:p>
    <w:p>
      <w:pPr>
        <w:pStyle w:val="BodyText"/>
      </w:pPr>
      <w:r>
        <w:t xml:space="preserve">解析:</w:t>
      </w:r>
      <w:r>
        <w:rPr>
          <w:b/>
        </w:rPr>
        <w:t xml:space="preserve">具体知识点:</w:t>
      </w:r>
    </w:p>
    <w:p>
      <w:pPr>
        <w:pStyle w:val="BodyText"/>
      </w:pPr>
      <w:r>
        <w:rPr>
          <w:b/>
        </w:rPr>
        <w:t xml:space="preserve">空壳银行 (Shell Bank)</w:t>
      </w:r>
      <w:r>
        <w:rPr>
          <w:b/>
        </w:rPr>
        <w:t xml:space="preserve"> </w:t>
      </w:r>
      <w:r>
        <w:rPr>
          <w:b/>
        </w:rPr>
        <w:t xml:space="preserve">仅在名义上存在的银行，在其成立或经营许可国并无实体经营，且不隶属于任何接受全面有效监管的金融服务集团。</w:t>
      </w:r>
    </w:p>
    <w:p>
      <w:pPr>
        <w:pStyle w:val="BodyText"/>
      </w:pPr>
      <w:r>
        <w:rPr>
          <w:b/>
        </w:rPr>
        <w:t xml:space="preserve">选项分析: </w:t>
      </w:r>
    </w:p>
    <w:p>
      <w:pPr>
        <w:pStyle w:val="BodyText"/>
      </w:pPr>
      <w:r>
        <w:t xml:space="preserve">根据《沃尔夫斯堡代理银行金融犯罪原则》1，空壳银行是指在其注册和许可的司法管辖区内没有实体存在，并且与受有效综合监管的受监管金融集团无关的银行。身体的存在意味着有意义的思想和位于一个国家内的管理层。仅仅存在当地代理人或低级别工作人员并不构成实际存在。因此，空壳银行符合标准A、B和D选项，因为它不在固定地址开展业务，不雇佣一个或多个个人，也不在该地址保存运营记录，也不接受授权银行当局的检查。</w:t>
      </w:r>
      <w:r>
        <w:t xml:space="preserve"> </w:t>
      </w:r>
      <w:r>
        <w:t xml:space="preserve">标准C并不适用于空壳银行，因为任何银行，无论是否空壳，都可能或可能不受要求其实施反洗钱计划的反洗钱法律的约束，具体取决于司法管辖区。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2026-06-25T02:42:32Z</dcterms:created>
  <dcterms:modified xsi:type="dcterms:W3CDTF">2026-06-25T02:42:32Z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