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5bf6fbebb40a67b5cd9ef19f153ba751d8b77a3"/>
      <w:r>
        <w:t xml:space="preserve">中文版CAMS真题（V6考纲）-137-导出题目-2026-07-24-12-53-42</w:t>
      </w:r>
      <w:bookmarkEnd w:id="20"/>
    </w:p>
    <w:p>
      <w:pPr>
        <w:pStyle w:val="FirstParagraph"/>
      </w:pPr>
      <w:r>
        <w:t xml:space="preserve">1.(多选题)当发现可疑活动时，执法部门应如何从机构获取文件?（选择两个）</w:t>
      </w:r>
    </w:p>
    <w:p>
      <w:pPr>
        <w:pStyle w:val="BodyText"/>
      </w:pPr>
      <w:r>
        <w:t xml:space="preserve">A.要求问责机构提供相关文件的副本</w:t>
      </w:r>
    </w:p>
    <w:p>
      <w:pPr>
        <w:pStyle w:val="BodyText"/>
      </w:pPr>
      <w:r>
        <w:t xml:space="preserve">B.支付问责机构的员工复印文件的费用</w:t>
      </w:r>
    </w:p>
    <w:p>
      <w:pPr>
        <w:pStyle w:val="BodyText"/>
      </w:pPr>
      <w:r>
        <w:t xml:space="preserve">C.要求金融情报机构共享可疑交易报告的副本</w:t>
      </w:r>
    </w:p>
    <w:p>
      <w:pPr>
        <w:pStyle w:val="BodyText"/>
      </w:pPr>
      <w:r>
        <w:t xml:space="preserve">D.向金融情报机构索取文件</w:t>
      </w:r>
    </w:p>
    <w:p>
      <w:pPr>
        <w:pStyle w:val="BodyText"/>
      </w:pPr>
      <w:r>
        <w:t xml:space="preserve">E.获得搜查令以获取文件</w:t>
      </w:r>
    </w:p>
    <w:p>
      <w:pPr>
        <w:pStyle w:val="BodyText"/>
      </w:pPr>
      <w:r>
        <w:t xml:space="preserve">答案:A C</w:t>
      </w:r>
    </w:p>
    <w:p>
      <w:pPr>
        <w:pStyle w:val="BodyText"/>
      </w:pPr>
      <w:r>
        <w:t xml:space="preserve">解析:</w:t>
      </w:r>
      <w:r>
        <w:rPr>
          <w:b/>
        </w:rPr>
        <w:t xml:space="preserve">具体知识点:</w:t>
      </w:r>
    </w:p>
    <w:p>
      <w:pPr>
        <w:pStyle w:val="BodyText"/>
      </w:pPr>
      <w:r>
        <w:t xml:space="preserve">作证传票 (Subpoena)</w:t>
      </w:r>
    </w:p>
    <w:p>
      <w:pPr>
        <w:pStyle w:val="BodyText"/>
      </w:pPr>
      <w:r>
        <w:rPr>
          <w:b/>
        </w:rPr>
        <w:t xml:space="preserve">作证传票通常由法院管辖范围内的大陪审团签发。它们授权执法机构强制获得文件和证词，从而使执法机构能够调查可疑交易、发现证据，并最终形成案件提起公诉。</w:t>
      </w:r>
    </w:p>
    <w:p>
      <w:pPr>
        <w:pStyle w:val="BodyText"/>
      </w:pPr>
      <w:r>
        <w:rPr>
          <w:b/>
        </w:rPr>
        <w:t xml:space="preserve">选项分析:</w:t>
      </w:r>
    </w:p>
    <w:p>
      <w:pPr>
        <w:pStyle w:val="BodyText"/>
      </w:pPr>
      <w:r>
        <w:t xml:space="preserve">选项A正确，问责机构在金融监管体系中通常承担着监督和管理金融机构行为的职责，可能会要求金融机构保留相关交易记录和文件。因此，</w:t>
      </w:r>
      <w:r>
        <w:rPr>
          <w:b/>
        </w:rPr>
        <w:t xml:space="preserve">执法部门要求问责机构提供相关文件副本</w:t>
      </w:r>
      <w:r>
        <w:t xml:space="preserve">是一种可行的途径，问责机构可以依据其监管职责和相关规定，协调金融机构向执法部门提供所需文件，故A项正确。</w:t>
      </w:r>
    </w:p>
    <w:p>
      <w:pPr>
        <w:pStyle w:val="BodyText"/>
      </w:pPr>
      <w:r>
        <w:t xml:space="preserve">选项B错误，支付问责机构员工复印文件的费用并不是获取文件的关键问题，这一选项没有抓住执法部门获取文件的核心要点，即通过合法的程序和渠道来获取文件，而不是关注费用问题，故</w:t>
      </w:r>
      <w:r>
        <w:t xml:space="preserve"> </w:t>
      </w:r>
      <w:r>
        <w:t xml:space="preserve">B 项错误。</w:t>
      </w:r>
    </w:p>
    <w:p>
      <w:pPr>
        <w:pStyle w:val="BodyText"/>
      </w:pPr>
      <w:r>
        <w:t xml:space="preserve">选项C正确，金融情报机构负责收集、分析和处理金融机构报送的可疑交易报告等信息。这些报告中包含了大量关于可疑活动的细节和相关文件的摘要或引用。</w:t>
      </w:r>
      <w:r>
        <w:rPr>
          <w:b/>
        </w:rPr>
        <w:t xml:space="preserve">执法部门要求金融情报机构共享可疑交易报告的副本</w:t>
      </w:r>
      <w:r>
        <w:t xml:space="preserve">，可以获取到有关可疑活动的关键信息和线索，有助于进一步调查，故</w:t>
      </w:r>
      <w:r>
        <w:t xml:space="preserve"> </w:t>
      </w:r>
      <w:r>
        <w:t xml:space="preserve">C 项正确。</w:t>
      </w:r>
    </w:p>
    <w:p>
      <w:pPr>
        <w:pStyle w:val="BodyText"/>
      </w:pPr>
      <w:r>
        <w:t xml:space="preserve">选项D错误，如前面所述，金融情报机构主要侧重于情报的分析和处理，其持有的文件主要是与可疑交易报告相关的资料，不一定包含执法部门所需的所有具体文件。执法部门直接向金融情报机构索取文件可能无法获取到全面、完整的所需文件，故</w:t>
      </w:r>
      <w:r>
        <w:t xml:space="preserve"> </w:t>
      </w:r>
      <w:r>
        <w:t xml:space="preserve">D 项不准确。</w:t>
      </w:r>
    </w:p>
    <w:p>
      <w:pPr>
        <w:pStyle w:val="BodyText"/>
      </w:pPr>
      <w:r>
        <w:t xml:space="preserve">选项E错误，获得搜查令以获取文件是一种常见且有效的执法手段，但题目中明确要求选择两个选项，且</w:t>
      </w:r>
      <w:r>
        <w:t xml:space="preserve"> </w:t>
      </w:r>
      <w:r>
        <w:t xml:space="preserve">AC 选项已经能够满足从机构获取文件的方式，E</w:t>
      </w:r>
      <w:r>
        <w:t xml:space="preserve"> </w:t>
      </w:r>
      <w:r>
        <w:t xml:space="preserve">选项虽然也是合法获取文件的方式之一，但在此题中不做选择。此外，获取搜查令需要一定的条件和程序，并非在所有发现可疑活动的情况下都能立即实施，相比之下，AC</w:t>
      </w:r>
      <w:r>
        <w:t xml:space="preserve"> </w:t>
      </w:r>
      <w:r>
        <w:t xml:space="preserve">选项更直接地针对机构获取文件的途径。故 E 项在此题中不选。</w:t>
      </w:r>
    </w:p>
    <w:p>
      <w:pPr>
        <w:pStyle w:val="BodyText"/>
      </w:pPr>
      <w:r>
        <w:t xml:space="preserve">2.(多选题)在哪两种情况下，执法部门可以访问金融机构客户的财务记录?（选两个）</w:t>
      </w:r>
    </w:p>
    <w:p>
      <w:pPr>
        <w:pStyle w:val="BodyText"/>
      </w:pPr>
      <w:r>
        <w:t xml:space="preserve">A.如果此人在可疑交易报告中被点名</w:t>
      </w:r>
    </w:p>
    <w:p>
      <w:pPr>
        <w:pStyle w:val="BodyText"/>
      </w:pPr>
      <w:r>
        <w:t xml:space="preserve">B.如果执法部门送达法律传票或传票</w:t>
      </w:r>
    </w:p>
    <w:p>
      <w:pPr>
        <w:pStyle w:val="BodyText"/>
      </w:pPr>
      <w:r>
        <w:t xml:space="preserve">C.如果对客户的调查在媒体上公开</w:t>
      </w:r>
    </w:p>
    <w:p>
      <w:pPr>
        <w:pStyle w:val="BodyText"/>
      </w:pPr>
      <w:r>
        <w:t xml:space="preserve">D.如果执法部门有间接证据怀疑洗钱</w:t>
      </w:r>
    </w:p>
    <w:p>
      <w:pPr>
        <w:pStyle w:val="BodyText"/>
      </w:pPr>
      <w:r>
        <w:t xml:space="preserve">答案:A B</w:t>
      </w:r>
    </w:p>
    <w:p>
      <w:pPr>
        <w:pStyle w:val="BodyText"/>
      </w:pPr>
      <w:r>
        <w:t xml:space="preserve">解析:</w:t>
      </w:r>
      <w:r>
        <w:rPr>
          <w:b/>
        </w:rPr>
        <w:t xml:space="preserve">具体知识点:</w:t>
      </w:r>
    </w:p>
    <w:p>
      <w:pPr>
        <w:pStyle w:val="BodyText"/>
      </w:pPr>
      <w:r>
        <w:t xml:space="preserve">作证传票 (Subpoena)、与执法机构就可疑活动报告进行沟通</w:t>
      </w:r>
    </w:p>
    <w:p>
      <w:pPr>
        <w:pStyle w:val="BodyText"/>
      </w:pPr>
      <w:r>
        <w:rPr>
          <w:b/>
        </w:rPr>
        <w:t xml:space="preserve">当组织收到强制出示某些文件的作证传票或传唤与其客户相关的个人</w:t>
      </w:r>
      <w:r>
        <w:t xml:space="preserve">时，组织应确保其高级管理层和/或法律顾问审查作证传票，并独立确认其合法性（例如，确认获取机密信息不是企图欺诈）。如果没有理由对作证传票提出异议，机构应采取所有适当的措施，及时、完整地遵守传唤或作证传票的要求。</w:t>
      </w:r>
      <w:r>
        <w:t xml:space="preserve"> </w:t>
      </w:r>
      <w:r>
        <w:t xml:space="preserve">否则，金融组织可能遭受不利行动或处罚。金融组织绝不得向客户泄露谁正在被调查。</w:t>
      </w:r>
    </w:p>
    <w:p>
      <w:pPr>
        <w:pStyle w:val="BodyText"/>
      </w:pPr>
      <w:r>
        <w:t xml:space="preserve">在组织提交可疑活动报告时，报告细节可能需要向执法机构发出额外通知。可疑活动报告代表着向一个国家或地区的金融情报机构提交的金融情报;根据在特定国家或地区提交的报告数量，值得优先关注的报告可能隐藏在提交的大量报告之中。</w:t>
      </w:r>
      <w:r>
        <w:rPr>
          <w:b/>
        </w:rPr>
        <w:t xml:space="preserve">在提交可疑活动报告之后，负责的合规官或被指定人员可以联系特定的执法部门，告知他们最近提交的报告，</w:t>
      </w:r>
      <w:r>
        <w:t xml:space="preserve">让他们获悉与其责任范围或地理位置相关的活动。</w:t>
      </w:r>
      <w:r>
        <w:t xml:space="preserve"> </w:t>
      </w:r>
      <w:r>
        <w:t xml:space="preserve">另外，执法机构可以联系提交该可疑活动报告的金融组织，要求其提供在开展可疑活动报告调查中使用的基本信息。因此，每个金融组织都要在就可疑活动报告与执法机构进行沟通方面，制定自己的政策和程序，这一点至关重要。</w:t>
      </w:r>
    </w:p>
    <w:p>
      <w:pPr>
        <w:pStyle w:val="BodyText"/>
      </w:pPr>
      <w:r>
        <w:t xml:space="preserve">3.埃格蒙特集团的主要目标是什么?</w:t>
      </w:r>
    </w:p>
    <w:p>
      <w:pPr>
        <w:pStyle w:val="BodyText"/>
      </w:pPr>
      <w:r>
        <w:t xml:space="preserve">A.寻找促进金融情报机构发展和分享专门知识的方法。</w:t>
      </w:r>
    </w:p>
    <w:p>
      <w:pPr>
        <w:pStyle w:val="BodyText"/>
      </w:pPr>
      <w:r>
        <w:t xml:space="preserve">B.保护金融系统免受非法使用，打击洗钱促进国家安全。</w:t>
      </w:r>
    </w:p>
    <w:p>
      <w:pPr>
        <w:pStyle w:val="BodyText"/>
      </w:pPr>
      <w:r>
        <w:t xml:space="preserve">C.发布具有约束力的标准，在成员司法管辖区建立一致运作的金融情报机构。</w:t>
      </w:r>
    </w:p>
    <w:p>
      <w:pPr>
        <w:pStyle w:val="BodyText"/>
      </w:pPr>
      <w:r>
        <w:t xml:space="preserve">D.为金融机构提供关于如何报告可疑活动的最佳做法，以便与执法部门最佳分享信息。</w:t>
      </w:r>
    </w:p>
    <w:p>
      <w:pPr>
        <w:pStyle w:val="BodyText"/>
      </w:pPr>
      <w:r>
        <w:t xml:space="preserve">答案:A</w:t>
      </w:r>
    </w:p>
    <w:p>
      <w:pPr>
        <w:pStyle w:val="BodyText"/>
      </w:pPr>
      <w:r>
        <w:t xml:space="preserve">解析:</w:t>
      </w:r>
      <w:r>
        <w:rPr>
          <w:b/>
        </w:rPr>
        <w:t xml:space="preserve">具体知识点:</w:t>
      </w:r>
    </w:p>
    <w:p>
      <w:pPr>
        <w:pStyle w:val="BodyText"/>
      </w:pPr>
      <w:r>
        <w:t xml:space="preserve">金融情报机构埃格蒙特集团 (Egmont Group of Financial Intelligence Units)</w:t>
      </w:r>
    </w:p>
    <w:p>
      <w:pPr>
        <w:pStyle w:val="BodyText"/>
      </w:pPr>
      <w:r>
        <w:t xml:space="preserve">埃格蒙特集团由多个国家的金融情报机构组成，各成员定期举行会晤，以期</w:t>
      </w:r>
      <w:r>
        <w:rPr>
          <w:b/>
        </w:rPr>
        <w:t xml:space="preserve">寻找促进金融情报机构自身发展和相互间协作的方式</w:t>
      </w:r>
      <w:r>
        <w:t xml:space="preserve">，尤其是在信息交换、培训和经验交流方面的协作。该集团的宗旨是为各国金融情报机构提供交流平台，以便促进反洗钱和反恐融资合作，推动各成员在其国内实施反洗钱和反恐融资制度。因此选A。</w:t>
      </w:r>
    </w:p>
    <w:p>
      <w:pPr>
        <w:pStyle w:val="BodyText"/>
      </w:pPr>
      <w:r>
        <w:rPr>
          <w:b/>
        </w:rPr>
        <w:t xml:space="preserve">选项分析:</w:t>
      </w:r>
    </w:p>
    <w:p>
      <w:pPr>
        <w:pStyle w:val="BodyText"/>
      </w:pPr>
      <w:r>
        <w:t xml:space="preserve">B错误，虽然是FIUs的间接目标，但埃格蒙特集团本身不直接参与国家安全或政策制定。</w:t>
      </w:r>
    </w:p>
    <w:p>
      <w:pPr>
        <w:pStyle w:val="BodyText"/>
      </w:pPr>
      <w:r>
        <w:t xml:space="preserve">C错误，埃格蒙特集团不制定强制性标准（这是FATF的职责）。</w:t>
      </w:r>
    </w:p>
    <w:p>
      <w:pPr>
        <w:pStyle w:val="BodyText"/>
      </w:pPr>
      <w:r>
        <w:t xml:space="preserve">D错误，埃格蒙特集团聚焦于FIUs间的协作，而非直接指导金融机构。</w:t>
      </w:r>
    </w:p>
    <w:p>
      <w:pPr>
        <w:pStyle w:val="BodyText"/>
      </w:pPr>
      <w:r>
        <w:t xml:space="preserve">4.(多选题)一个潜在的客户走进一家会计师事务所，想成立一家公司。会见结束后，会计师感到很不舒服。会计师的哪两项意见需要上报给合规官员?</w:t>
      </w:r>
    </w:p>
    <w:p>
      <w:pPr>
        <w:pStyle w:val="BodyText"/>
      </w:pPr>
      <w:r>
        <w:t xml:space="preserve">A.潜在客户提出的关于拟议业务的细节令人困惑，对拟议的业务活动了解甚少。</w:t>
      </w:r>
    </w:p>
    <w:p>
      <w:pPr>
        <w:pStyle w:val="BodyText"/>
      </w:pPr>
      <w:r>
        <w:t xml:space="preserve">B.潜在客户能够提供资金来源和财富来源文件。</w:t>
      </w:r>
    </w:p>
    <w:p>
      <w:pPr>
        <w:pStyle w:val="BodyText"/>
      </w:pPr>
      <w:r>
        <w:t xml:space="preserve">C.潜在客户在与会计师交谈时，在提供个人详细资料时表现出自信。</w:t>
      </w:r>
    </w:p>
    <w:p>
      <w:pPr>
        <w:pStyle w:val="BodyText"/>
      </w:pPr>
      <w:r>
        <w:t xml:space="preserve">D.拟建公司的主要活动是进口和出口新家具。</w:t>
      </w:r>
    </w:p>
    <w:p>
      <w:pPr>
        <w:pStyle w:val="BodyText"/>
      </w:pPr>
      <w:r>
        <w:t xml:space="preserve">E.潜在客户无法提供有关受益人的信息。</w:t>
      </w:r>
    </w:p>
    <w:p>
      <w:pPr>
        <w:pStyle w:val="BodyText"/>
      </w:pPr>
      <w:r>
        <w:t xml:space="preserve">答案:A E</w:t>
      </w:r>
    </w:p>
    <w:p>
      <w:pPr>
        <w:pStyle w:val="BodyText"/>
      </w:pPr>
      <w:r>
        <w:t xml:space="preserve">解析:</w:t>
      </w:r>
      <w:r>
        <w:rPr>
          <w:b/>
        </w:rPr>
        <w:t xml:space="preserve">具体知识点:</w:t>
      </w:r>
    </w:p>
    <w:p>
      <w:pPr>
        <w:pStyle w:val="BodyText"/>
      </w:pPr>
      <w:r>
        <w:t xml:space="preserve">守门人 (Gatekeepers)</w:t>
      </w:r>
    </w:p>
    <w:p>
      <w:pPr>
        <w:pStyle w:val="BodyText"/>
      </w:pPr>
      <w:r>
        <w:t xml:space="preserve">律师、公证员、会计师、投资顾问、信托与公司服务提供商等协助涉及资金流动的交易并被认为在识别、防范和报告洗钱活动中具有特殊作用的专业人员。</w:t>
      </w:r>
      <w:r>
        <w:t xml:space="preserve"> </w:t>
      </w:r>
      <w:r>
        <w:t xml:space="preserve">有些国家和地区对守门人和金融机构工作人员提出了相似的客户尽职调查要求。</w:t>
      </w:r>
    </w:p>
    <w:p>
      <w:pPr>
        <w:pStyle w:val="BodyText"/>
      </w:pPr>
      <w:r>
        <w:rPr>
          <w:b/>
        </w:rPr>
        <w:t xml:space="preserve">选项分析:</w:t>
      </w:r>
    </w:p>
    <w:p>
      <w:pPr>
        <w:pStyle w:val="BodyText"/>
      </w:pPr>
      <w:r>
        <w:t xml:space="preserve">选项A正确，开立公司的目的不明确，都不了解公司的业务肯定有问题。</w:t>
      </w:r>
    </w:p>
    <w:p>
      <w:pPr>
        <w:pStyle w:val="BodyText"/>
      </w:pPr>
      <w:r>
        <w:t xml:space="preserve">选项E正确，不能提供受益所有人的信息，明显是想掩盖最终收益人。</w:t>
      </w:r>
    </w:p>
    <w:p>
      <w:pPr>
        <w:pStyle w:val="BodyText"/>
      </w:pPr>
      <w:r>
        <w:t xml:space="preserve">选项B、C错误，实际上是好迹象。</w:t>
      </w:r>
    </w:p>
    <w:p>
      <w:pPr>
        <w:pStyle w:val="BodyText"/>
      </w:pPr>
      <w:r>
        <w:t xml:space="preserve">选项D错误，进出口本身并不是高风险，这里没有什么可疑之处。</w:t>
      </w:r>
    </w:p>
    <w:p>
      <w:pPr>
        <w:pStyle w:val="BodyText"/>
      </w:pPr>
      <w:r>
        <w:t xml:space="preserve">5.如果金融机构（FI）因未报告可疑欺诈活动而受到制裁，其可能面临的法律风险是什么?</w:t>
      </w:r>
    </w:p>
    <w:p>
      <w:pPr>
        <w:pStyle w:val="BodyText"/>
      </w:pPr>
      <w:r>
        <w:t xml:space="preserve">A.外国代理银行可以终止与受制裁银行的关系</w:t>
      </w:r>
    </w:p>
    <w:p>
      <w:pPr>
        <w:pStyle w:val="BodyText"/>
      </w:pPr>
      <w:r>
        <w:t xml:space="preserve">B.银行的客户可能挤兑，并导致流动性问题</w:t>
      </w:r>
    </w:p>
    <w:p>
      <w:pPr>
        <w:pStyle w:val="BodyText"/>
      </w:pPr>
      <w:r>
        <w:t xml:space="preserve">C.银行可能被迫赔偿欺诈受害人所遭受的损失</w:t>
      </w:r>
    </w:p>
    <w:p>
      <w:pPr>
        <w:pStyle w:val="BodyText"/>
      </w:pPr>
      <w:r>
        <w:t xml:space="preserve">D.银行可能会看到欺诈者拥有的公司的贷款违约率更高</w:t>
      </w:r>
    </w:p>
    <w:p>
      <w:pPr>
        <w:pStyle w:val="BodyText"/>
      </w:pPr>
      <w:r>
        <w:t xml:space="preserve">答案:C</w:t>
      </w:r>
    </w:p>
    <w:p>
      <w:pPr>
        <w:pStyle w:val="BodyText"/>
      </w:pPr>
      <w:r>
        <w:t xml:space="preserve">解析:</w:t>
      </w:r>
      <w:r>
        <w:rPr>
          <w:b/>
        </w:rPr>
        <w:t xml:space="preserve">具体知识点:</w:t>
      </w:r>
    </w:p>
    <w:p>
      <w:pPr>
        <w:pStyle w:val="BodyText"/>
      </w:pPr>
      <w:r>
        <w:t xml:space="preserve">法律风险</w:t>
      </w:r>
    </w:p>
    <w:p>
      <w:pPr>
        <w:pStyle w:val="BodyText"/>
      </w:pPr>
      <w:r>
        <w:t xml:space="preserve">法律风险是指因诉讼、不利判决、不可强制执行的合同、</w:t>
      </w:r>
      <w:r>
        <w:rPr>
          <w:b/>
        </w:rPr>
        <w:t xml:space="preserve">罚金和处罚导致机构损失</w:t>
      </w:r>
      <w:r>
        <w:t xml:space="preserve">、支出增加甚至是机构被关闭的可能性。例如，合法客户可能成为金融犯罪的受害者，遭受金钱损失并起诉金融机构要求赔偿。监管机构或执法部门的调查可能导致成本的增加、罚金以及其他形式的处罚。此外，某些合同可能因部分犯罪客户的欺诈而无法强制执行。</w:t>
      </w:r>
    </w:p>
    <w:p>
      <w:pPr>
        <w:pStyle w:val="BodyText"/>
      </w:pPr>
      <w:r>
        <w:rPr>
          <w:b/>
        </w:rPr>
        <w:t xml:space="preserve">选项分析:</w:t>
      </w:r>
    </w:p>
    <w:p>
      <w:pPr>
        <w:pStyle w:val="BodyText"/>
      </w:pPr>
      <w:r>
        <w:t xml:space="preserve">选项A错误，外国代理银行终止与受制裁银行的关系属于业务风险，而非法律风险。虽然这可能是金融机构受到制裁后产生的一种后果，但并不是直接的法律风险，故</w:t>
      </w:r>
      <w:r>
        <w:t xml:space="preserve"> </w:t>
      </w:r>
      <w:r>
        <w:t xml:space="preserve">A 项错误。</w:t>
      </w:r>
    </w:p>
    <w:p>
      <w:pPr>
        <w:pStyle w:val="BodyText"/>
      </w:pPr>
      <w:r>
        <w:t xml:space="preserve">选项B错误，银行客户挤兑导致流动性问题同样是一种业务上的风险，是由于金融机构的声誉受损等因素引发的，并非直接源于未报告可疑欺诈活动这一行为所导致的法律风险，故</w:t>
      </w:r>
      <w:r>
        <w:t xml:space="preserve"> </w:t>
      </w:r>
      <w:r>
        <w:t xml:space="preserve">B 项错误。</w:t>
      </w:r>
    </w:p>
    <w:p>
      <w:pPr>
        <w:pStyle w:val="BodyText"/>
      </w:pPr>
      <w:r>
        <w:t xml:space="preserve">选项C正确，</w:t>
      </w:r>
      <w:r>
        <w:rPr>
          <w:b/>
        </w:rPr>
        <w:t xml:space="preserve">金融机构有义务报告可疑欺诈活动，如果因未履行该义务而受到制裁，从法律角度看，银行可能会被判定对欺诈行为的发生存在一定过错，从而被迫赔偿欺诈受害人所遭受的损失，这是一种典型的法律风险，</w:t>
      </w:r>
      <w:r>
        <w:t xml:space="preserve">故</w:t>
      </w:r>
      <w:r>
        <w:t xml:space="preserve"> </w:t>
      </w:r>
      <w:r>
        <w:t xml:space="preserve">C 项正确。</w:t>
      </w:r>
    </w:p>
    <w:p>
      <w:pPr>
        <w:pStyle w:val="BodyText"/>
      </w:pPr>
      <w:r>
        <w:t xml:space="preserve">选项D错误，银行看到欺诈者拥有的公司贷款违约率更高，这更多地是与信贷风险和银行的风险管理相关，与未报告可疑欺诈活动所面临的法律风险没有直接关联，故</w:t>
      </w:r>
      <w:r>
        <w:t xml:space="preserve"> </w:t>
      </w:r>
      <w:r>
        <w:t xml:space="preserve">D 项错误。</w:t>
      </w:r>
    </w:p>
    <w:p>
      <w:pPr>
        <w:pStyle w:val="BodyText"/>
      </w:pPr>
      <w:r>
        <w:t xml:space="preserve">6.根据巴塞尔委员会发布的&lt;&lt;银行客户尽职调查白皮书&gt;&gt;代理账户的主要风险是?</w:t>
      </w:r>
    </w:p>
    <w:p>
      <w:pPr>
        <w:pStyle w:val="BodyText"/>
      </w:pPr>
      <w:r>
        <w:t xml:space="preserve">A.它并非每日使用</w:t>
      </w:r>
    </w:p>
    <w:p>
      <w:pPr>
        <w:pStyle w:val="BodyText"/>
      </w:pPr>
      <w:r>
        <w:t xml:space="preserve">B.服务费不足以覆盖管理账户所需要求</w:t>
      </w:r>
    </w:p>
    <w:p>
      <w:pPr>
        <w:pStyle w:val="BodyText"/>
      </w:pPr>
      <w:r>
        <w:t xml:space="preserve">C.代理银行的客户接纳和了解你的客户有待改进</w:t>
      </w:r>
    </w:p>
    <w:p>
      <w:pPr>
        <w:pStyle w:val="BodyText"/>
      </w:pPr>
      <w:r>
        <w:t xml:space="preserve">D.经由该帐户的交易量和交易价值可能与原始代理协议不一致</w:t>
      </w:r>
    </w:p>
    <w:p>
      <w:pPr>
        <w:pStyle w:val="BodyText"/>
      </w:pPr>
      <w:r>
        <w:t xml:space="preserve">答案:C</w:t>
      </w:r>
    </w:p>
    <w:p>
      <w:pPr>
        <w:pStyle w:val="BodyText"/>
      </w:pPr>
      <w:r>
        <w:t xml:space="preserve">解析:</w:t>
      </w:r>
      <w:r>
        <w:rPr>
          <w:b/>
        </w:rPr>
        <w:t xml:space="preserve">具体知识点:</w:t>
      </w:r>
    </w:p>
    <w:p>
      <w:pPr>
        <w:pStyle w:val="BodyText"/>
      </w:pPr>
      <w:r>
        <w:t xml:space="preserve">法律风险</w:t>
      </w:r>
    </w:p>
    <w:p>
      <w:pPr>
        <w:pStyle w:val="BodyText"/>
      </w:pPr>
      <w:r>
        <w:t xml:space="preserve">根据 2001</w:t>
      </w:r>
      <w:r>
        <w:t xml:space="preserve"> </w:t>
      </w:r>
      <w:r>
        <w:t xml:space="preserve">年巴塞尔银行客户尽职调查白皮书的定义，法律风险是指因诉讼、不利判决或无法执行的合同而干扰或危害金融机构的可能性。</w:t>
      </w:r>
      <w:r>
        <w:t xml:space="preserve"> </w:t>
      </w:r>
      <w:r>
        <w:t xml:space="preserve">此外，银行可能受到政府的行政或刑事处罚。</w:t>
      </w:r>
      <w:r>
        <w:t xml:space="preserve"> </w:t>
      </w:r>
      <w:r>
        <w:t xml:space="preserve">涉及银行的诉讼案件可能给机构造成超出司法成本的重大影响。</w:t>
      </w:r>
      <w:r>
        <w:rPr>
          <w:b/>
        </w:rPr>
        <w:t xml:space="preserve">如果银行在识别客户身份和了解并管理其洗钱风险时没有进行尽职调查，那它就无法有效地避免此类法律风险</w:t>
      </w:r>
      <w:r>
        <w:rPr>
          <w:b/>
        </w:rPr>
        <w:t xml:space="preserve"> </w:t>
      </w:r>
      <w:r>
        <w:rPr>
          <w:b/>
        </w:rPr>
        <w:t xml:space="preserve">。</w:t>
      </w:r>
      <w:r>
        <w:br/>
      </w:r>
      <w:r>
        <w:br/>
      </w:r>
      <w:r>
        <w:rPr>
          <w:b/>
        </w:rPr>
        <w:t xml:space="preserve">选项分析：</w:t>
      </w:r>
      <w:r>
        <w:br/>
      </w:r>
      <w:r>
        <w:t xml:space="preserve">选项A错误：账户使用频率低（非每日使用）本身不构成一项主要风险。风险在于账户活动的性质是否异常或可疑，而非其频率。一个不常使用的账户如果突然发生一笔异常巨额交易，风险很高；而一个每日用于正常清算的账户，风险可能可控。因此这不是巴塞尔委员会定义的主要风险。</w:t>
      </w:r>
      <w:r>
        <w:br/>
      </w:r>
      <w:r>
        <w:t xml:space="preserve">选项B错误：巴塞尔委员会的白皮书聚焦的点是：洗钱、恐怖融资风险以及相关的法律、声誉风险，并不是服务定价是否合理。管理成本高不会直接导致洗钱风险，但为降低成本而削减合规投入可能会导致洗钱风险。</w:t>
      </w:r>
      <w:r>
        <w:br/>
      </w:r>
      <w:r>
        <w:t xml:space="preserve">选项D错误：因为代理银行如果在客户接纳和KYC阶段未能充分了解委托银行的真实业务性质和风险，就无法设定一个合理、准确的代理协议来反映预期交易活动。因此，实际交易与协议不一致，恰恰暴露了前期KYC工作的失败。然而，在巴塞尔委员会的框架下，</w:t>
      </w:r>
      <w:r>
        <w:rPr>
          <w:b/>
        </w:rPr>
        <w:t xml:space="preserve">D选项描述的是风险暴露后的症状，而 C选项是导致症状的病因（即根本性的内部控制缺陷）</w:t>
      </w:r>
      <w:r>
        <w:t xml:space="preserve">。从风险管理原则和监管指引的层面看，解决内部控制缺陷（C）比识别具体症状（D）更为根本和优先。</w:t>
      </w:r>
    </w:p>
    <w:p>
      <w:pPr>
        <w:pStyle w:val="BodyText"/>
      </w:pPr>
      <w:r>
        <w:br/>
      </w:r>
    </w:p>
    <w:p>
      <w:pPr>
        <w:pStyle w:val="BodyText"/>
      </w:pPr>
      <w:r>
        <w:t xml:space="preserve">7.一家银行的合规负责人在审查一家本地企业开立银行账户的资料时发现无法找到公司实际控制人的身份信息。资料中只提供了名义控制人的信息，而且提供的地址都不是本地的。企业经营目的和未来计划中包括要使用现金转运单、汇款单和国际汇款。下列哪一项描述加剧洗钱风险?</w:t>
      </w:r>
    </w:p>
    <w:p>
      <w:pPr>
        <w:pStyle w:val="BodyText"/>
      </w:pPr>
      <w:r>
        <w:t xml:space="preserve">A.预期经营计划中包括要使用现金转运单、汇款单和国际汇款</w:t>
      </w:r>
    </w:p>
    <w:p>
      <w:pPr>
        <w:pStyle w:val="BodyText"/>
      </w:pPr>
      <w:r>
        <w:t xml:space="preserve">B.企业经营的目的和本质中都提及国际汇款</w:t>
      </w:r>
    </w:p>
    <w:p>
      <w:pPr>
        <w:pStyle w:val="BodyText"/>
      </w:pPr>
      <w:r>
        <w:t xml:space="preserve">C.开办银行账户资料中只有名义控制人的身份信息</w:t>
      </w:r>
    </w:p>
    <w:p>
      <w:pPr>
        <w:pStyle w:val="BodyText"/>
      </w:pPr>
      <w:r>
        <w:t xml:space="preserve">D.银行预留印鉴的签名人的身份信息显示的居住地不在该银行所在地</w:t>
      </w:r>
    </w:p>
    <w:p>
      <w:pPr>
        <w:pStyle w:val="BodyText"/>
      </w:pPr>
      <w:r>
        <w:t xml:space="preserve">答案:C</w:t>
      </w:r>
    </w:p>
    <w:p>
      <w:pPr>
        <w:pStyle w:val="BodyText"/>
      </w:pPr>
      <w:r>
        <w:t xml:space="preserve">解析:</w:t>
      </w:r>
      <w:r>
        <w:rPr>
          <w:b/>
        </w:rPr>
        <w:t xml:space="preserve">具体知识点:</w:t>
      </w:r>
    </w:p>
    <w:p>
      <w:pPr>
        <w:pStyle w:val="BodyText"/>
      </w:pPr>
      <w:r>
        <w:t xml:space="preserve">公司组织形式 (Corporate Vehicles)</w:t>
      </w:r>
    </w:p>
    <w:p>
      <w:pPr>
        <w:pStyle w:val="BodyText"/>
      </w:pPr>
      <w:r>
        <w:t xml:space="preserve">可能遭到滥用的各种法律实体包括:私人有限公司和股票未在股票交易所交易的公共有限公司、信托、非营利组织、有限合伙企业和有限责任合伙企业以及私人投资公司。有时，因为</w:t>
      </w:r>
      <w:r>
        <w:rPr>
          <w:b/>
        </w:rPr>
        <w:t xml:space="preserve">识别这些法律实体的最终受益所有人</w:t>
      </w:r>
      <w:r>
        <w:t xml:space="preserve">以及实际控制人存在相当的难度，所以它们才极易被用来洗钱。</w:t>
      </w:r>
    </w:p>
    <w:p>
      <w:pPr>
        <w:pStyle w:val="BodyText"/>
      </w:pPr>
      <w:r>
        <w:rPr>
          <w:b/>
        </w:rPr>
        <w:t xml:space="preserve">选项分析:</w:t>
      </w:r>
    </w:p>
    <w:p>
      <w:pPr>
        <w:pStyle w:val="BodyText"/>
      </w:pPr>
      <w:r>
        <w:t xml:space="preserve">A选项错误，现金和国际汇款本身是高风险交易方式（易隐匿资金来源），但这是企业经营计划的一部分，需结合其他信息判断。单独来看，属于业务性质风险，并非最直接加剧因素。</w:t>
      </w:r>
    </w:p>
    <w:p>
      <w:pPr>
        <w:pStyle w:val="BodyText"/>
      </w:pPr>
      <w:r>
        <w:t xml:space="preserve">B选项错误，国际汇款可能涉及跨境风险，但若无其他可疑点（如匿名控制人），风险可控。属于中性描述。</w:t>
      </w:r>
    </w:p>
    <w:p>
      <w:pPr>
        <w:pStyle w:val="BodyText"/>
      </w:pPr>
      <w:r>
        <w:t xml:space="preserve">C选项正确，</w:t>
      </w:r>
      <w:r>
        <w:rPr>
          <w:b/>
        </w:rPr>
        <w:t xml:space="preserve">这是最直接的高风险信号。根据反洗钱法规（如FATF建议24条），银行必须识别并验证实际控制人（受益所有人）。无法获取实际控制人信息会导致匿名性风险，可能被用于掩盖非法资金。此选项直接涉及身份隐匿，是洗钱的核心手段。</w:t>
      </w:r>
    </w:p>
    <w:p>
      <w:pPr>
        <w:pStyle w:val="BodyText"/>
      </w:pPr>
      <w:r>
        <w:t xml:space="preserve">D选项正确，非本地地址可能增加验证难度，但居住地与洗钱无必然联系（如企业可能有跨区域经营）。属于次要风险。</w:t>
      </w:r>
    </w:p>
    <w:p>
      <w:pPr>
        <w:pStyle w:val="BodyText"/>
      </w:pPr>
      <w:r>
        <w:t xml:space="preserve">8.</w:t>
      </w:r>
    </w:p>
    <w:p>
      <w:pPr>
        <w:pStyle w:val="Compact"/>
      </w:pPr>
      <w:r>
        <w:t xml:space="preserve">金融行动特别工作组及其同类区域性组织</w:t>
      </w:r>
      <w:r>
        <w:t xml:space="preserve"> </w:t>
      </w:r>
      <w:r>
        <w:t xml:space="preserve">(FSRB)</w:t>
      </w:r>
      <w:r>
        <w:t xml:space="preserve"> </w:t>
      </w:r>
      <w:r>
        <w:t xml:space="preserve">的目标是什么?</w:t>
      </w:r>
    </w:p>
    <w:p>
      <w:pPr>
        <w:pStyle w:val="BodyText"/>
      </w:pPr>
      <w:r>
        <w:t xml:space="preserve">A.发布自己的建议，考虑当地的类型，忽略FATF的40条建议</w:t>
      </w:r>
    </w:p>
    <w:p>
      <w:pPr>
        <w:pStyle w:val="BodyText"/>
      </w:pPr>
      <w:r>
        <w:t xml:space="preserve">B.独立于FATF开展工作，并密切参与改善本地区的执法成果</w:t>
      </w:r>
    </w:p>
    <w:p>
      <w:pPr>
        <w:pStyle w:val="BodyText"/>
      </w:pPr>
      <w:r>
        <w:t xml:space="preserve">C.通过在（相互、联合或共同）承认其工作的基础上运作，与金融行动特别工作组平行工作</w:t>
      </w:r>
    </w:p>
    <w:p>
      <w:pPr>
        <w:pStyle w:val="BodyText"/>
      </w:pPr>
      <w:r>
        <w:t xml:space="preserve">D.在其成员国中强制执行金融行动工作组的建议</w:t>
      </w:r>
    </w:p>
    <w:p>
      <w:pPr>
        <w:pStyle w:val="BodyText"/>
      </w:pPr>
      <w:r>
        <w:t xml:space="preserve">答案:C</w:t>
      </w:r>
    </w:p>
    <w:p>
      <w:pPr>
        <w:pStyle w:val="BodyText"/>
      </w:pPr>
      <w:r>
        <w:t xml:space="preserve">解析:</w:t>
      </w:r>
      <w:r>
        <w:rPr>
          <w:b/>
        </w:rPr>
        <w:t xml:space="preserve">具体知识点:</w:t>
      </w:r>
    </w:p>
    <w:p>
      <w:pPr>
        <w:pStyle w:val="Compact"/>
      </w:pPr>
      <w:r>
        <w:t xml:space="preserve">金融行动特别工作组及其同类区域性组织</w:t>
      </w:r>
      <w:r>
        <w:t xml:space="preserve"> </w:t>
      </w:r>
      <w:r>
        <w:t xml:space="preserve">(Financial Action Task Force-Style Regional Body; FSRB)</w:t>
      </w:r>
    </w:p>
    <w:p>
      <w:pPr>
        <w:pStyle w:val="BodyText"/>
      </w:pPr>
      <w:r>
        <w:rPr>
          <w:b/>
        </w:rPr>
        <w:t xml:space="preserve">区域性反洗钱组织具有与金融行动特别工作组类似的形式和职能</w:t>
      </w:r>
      <w:r>
        <w:t xml:space="preserve">。但它们的工作主要针对</w:t>
      </w:r>
      <w:r>
        <w:rPr>
          <w:b/>
        </w:rPr>
        <w:t xml:space="preserve">特定地区</w:t>
      </w:r>
      <w:r>
        <w:t xml:space="preserve">。该组织与金融行动特别工作组共同构筑成反洗钱和反恐融资相关的全球网络。</w:t>
      </w:r>
      <w:r>
        <w:t xml:space="preserve"> </w:t>
      </w:r>
      <w:r>
        <w:rPr>
          <w:b/>
        </w:rPr>
        <w:t xml:space="preserve">选项分析:</w:t>
      </w:r>
      <w:r>
        <w:t xml:space="preserve"> </w:t>
      </w:r>
      <w:r>
        <w:t xml:space="preserve">A选项错误，FSRB不会忽略FATF建议。</w:t>
      </w:r>
      <w:r>
        <w:t xml:space="preserve"> </w:t>
      </w:r>
      <w:r>
        <w:t xml:space="preserve">B选项错误，FSRB不独立于FATF。</w:t>
      </w:r>
      <w:r>
        <w:t xml:space="preserve"> </w:t>
      </w:r>
      <w:r>
        <w:t xml:space="preserve">D选项错误，"</w:t>
      </w:r>
      <w:r>
        <w:rPr>
          <w:b/>
        </w:rPr>
        <w:t xml:space="preserve">强制执行</w:t>
      </w:r>
      <w:r>
        <w:t xml:space="preserve">"的表述过于绝对。</w:t>
      </w:r>
    </w:p>
    <w:p>
      <w:pPr>
        <w:pStyle w:val="BodyText"/>
      </w:pPr>
      <w:r>
        <w:t xml:space="preserve">9.一名洗钱报告官（MLRO）意识到该银行的一个具有战略重要性的客户正在向人口贩运者汇款。然而反洗钱报告员没有向执法部门报告该活动，也没有采取退出关系的行动。反洗钱报告员从事的活动的法律术语是什么?</w:t>
      </w:r>
    </w:p>
    <w:p>
      <w:pPr>
        <w:pStyle w:val="BodyText"/>
      </w:pPr>
      <w:r>
        <w:t xml:space="preserve">A.回避</w:t>
      </w:r>
    </w:p>
    <w:p>
      <w:pPr>
        <w:pStyle w:val="BodyText"/>
      </w:pPr>
      <w:r>
        <w:t xml:space="preserve">B.规避</w:t>
      </w:r>
    </w:p>
    <w:p>
      <w:pPr>
        <w:pStyle w:val="BodyText"/>
      </w:pPr>
      <w:r>
        <w:t xml:space="preserve">C.疏忽行为</w:t>
      </w:r>
    </w:p>
    <w:p>
      <w:pPr>
        <w:pStyle w:val="BodyText"/>
      </w:pPr>
      <w:r>
        <w:t xml:space="preserve">D.有意忽视</w:t>
      </w:r>
    </w:p>
    <w:p>
      <w:pPr>
        <w:pStyle w:val="BodyText"/>
      </w:pPr>
      <w:r>
        <w:t xml:space="preserve">答案:D</w:t>
      </w:r>
    </w:p>
    <w:p>
      <w:pPr>
        <w:pStyle w:val="BodyText"/>
      </w:pPr>
      <w:r>
        <w:t xml:space="preserve">解析:</w:t>
      </w:r>
      <w:r>
        <w:rPr>
          <w:b/>
        </w:rPr>
        <w:t xml:space="preserve">具体知识点:</w:t>
      </w:r>
    </w:p>
    <w:p>
      <w:pPr>
        <w:pStyle w:val="BodyText"/>
      </w:pPr>
      <w:r>
        <w:t xml:space="preserve">有意忽视(Willful Blindness)</w:t>
      </w:r>
    </w:p>
    <w:p>
      <w:pPr>
        <w:pStyle w:val="BodyText"/>
      </w:pPr>
      <w:r>
        <w:t xml:space="preserve">美国在处理洗钱案件时适用的法律原则，法院将其定义为"</w:t>
      </w:r>
      <w:r>
        <w:t xml:space="preserve"> </w:t>
      </w:r>
      <w:r>
        <w:t xml:space="preserve">有意回避明知的事实</w:t>
      </w:r>
      <w:r>
        <w:t xml:space="preserve"> </w:t>
      </w:r>
      <w:r>
        <w:t xml:space="preserve">"或"</w:t>
      </w:r>
      <w:r>
        <w:t xml:space="preserve"> </w:t>
      </w:r>
      <w:r>
        <w:t xml:space="preserve">故意放任</w:t>
      </w:r>
      <w:r>
        <w:t xml:space="preserve"> </w:t>
      </w:r>
      <w:r>
        <w:t xml:space="preserve">"。这些法院认定，</w:t>
      </w:r>
      <w:r>
        <w:rPr>
          <w:b/>
        </w:rPr>
        <w:t xml:space="preserve">有意忽视</w:t>
      </w:r>
      <w:r>
        <w:t xml:space="preserve">即等同于切实明知资金的非法来源或洗钱交易中客户的意图。</w:t>
      </w:r>
    </w:p>
    <w:p>
      <w:pPr>
        <w:pStyle w:val="BodyText"/>
      </w:pPr>
      <w:r>
        <w:rPr>
          <w:b/>
        </w:rPr>
        <w:t xml:space="preserve">选项分析:</w:t>
      </w:r>
    </w:p>
    <w:p>
      <w:pPr>
        <w:pStyle w:val="BodyText"/>
      </w:pPr>
      <w:r>
        <w:t xml:space="preserve">A选项错误，回避指规避法律义务，但未强调"明知而忽视"的主观故意。</w:t>
      </w:r>
    </w:p>
    <w:p>
      <w:pPr>
        <w:pStyle w:val="BodyText"/>
      </w:pPr>
      <w:r>
        <w:t xml:space="preserve">B选项错误，规避通常指主动绕过监管（如拆分交易），与本案的"不作为"不符。</w:t>
      </w:r>
    </w:p>
    <w:p>
      <w:pPr>
        <w:pStyle w:val="BodyText"/>
      </w:pPr>
      <w:r>
        <w:t xml:space="preserve">C选项错误，疏忽行为指因过失未察觉风险，而本案MLRO是明知风险却选择无视。</w:t>
      </w:r>
    </w:p>
    <w:p>
      <w:pPr>
        <w:pStyle w:val="BodyText"/>
      </w:pPr>
      <w:r>
        <w:t xml:space="preserve">10.审查贸易融资交易的分析师注意到，在12个月内，相同规格和数量的商品价格上涨了25%。分析师应该采取什么行动?</w:t>
      </w:r>
    </w:p>
    <w:p>
      <w:pPr>
        <w:pStyle w:val="BodyText"/>
      </w:pPr>
      <w:r>
        <w:t xml:space="preserve">A.编制一份调查报告，找到证据证明分析师的怀疑，并提交一份SAR/STR</w:t>
      </w:r>
    </w:p>
    <w:p>
      <w:pPr>
        <w:pStyle w:val="BodyText"/>
      </w:pPr>
      <w:r>
        <w:t xml:space="preserve">B.编制一份调查报告，考虑可能合法影响交易成本的客户活动和因素</w:t>
      </w:r>
    </w:p>
    <w:p>
      <w:pPr>
        <w:pStyle w:val="BodyText"/>
      </w:pPr>
      <w:r>
        <w:t xml:space="preserve">C.为客户提供更新的尽职调查记录，以便加强监控</w:t>
      </w:r>
    </w:p>
    <w:p>
      <w:pPr>
        <w:pStyle w:val="BodyText"/>
      </w:pPr>
      <w:r>
        <w:t xml:space="preserve">D.编制一份SAR/STR，描述明显的基于贸易的洗钱行为，并提交金融调查股（FIU）</w:t>
      </w:r>
    </w:p>
    <w:p>
      <w:pPr>
        <w:pStyle w:val="BodyText"/>
      </w:pPr>
      <w:r>
        <w:t xml:space="preserve">答案:B</w:t>
      </w:r>
    </w:p>
    <w:p>
      <w:pPr>
        <w:pStyle w:val="BodyText"/>
      </w:pPr>
      <w:r>
        <w:t xml:space="preserve">解析:</w:t>
      </w:r>
      <w:r>
        <w:rPr>
          <w:b/>
        </w:rPr>
        <w:t xml:space="preserve">具体知识点:</w:t>
      </w:r>
    </w:p>
    <w:p>
      <w:pPr>
        <w:pStyle w:val="BodyText"/>
      </w:pPr>
      <w:r>
        <w:t xml:space="preserve">现金交易报告 (Currency Transaction Report; CTR)</w:t>
      </w:r>
    </w:p>
    <w:p>
      <w:pPr>
        <w:pStyle w:val="BodyText"/>
      </w:pPr>
      <w:r>
        <w:t xml:space="preserve">记录某一笔超过一定金额上限的现金交易的报告。如果同一天内多笔现金交易的累积金额超过某一限额，也可以提交</w:t>
      </w:r>
      <w:r>
        <w:rPr>
          <w:b/>
        </w:rPr>
        <w:t xml:space="preserve">现金交易报告</w:t>
      </w:r>
      <w:r>
        <w:t xml:space="preserve">。包括美国在内的一些国家针对何时应向政府部门提交现金交易报告进行了规定。</w:t>
      </w:r>
    </w:p>
    <w:p>
      <w:pPr>
        <w:pStyle w:val="BodyText"/>
      </w:pPr>
      <w:r>
        <w:rPr>
          <w:b/>
        </w:rPr>
        <w:t xml:space="preserve">选项分析:</w:t>
      </w:r>
    </w:p>
    <w:p>
      <w:pPr>
        <w:pStyle w:val="BodyText"/>
      </w:pPr>
      <w:r>
        <w:t xml:space="preserve">A和D选项错误，违反"风险为本"原则，未完成基本调查即上报可能构成滥报，香港海关2022年指引明确要求排除合理商业解释。</w:t>
      </w:r>
    </w:p>
    <w:p>
      <w:pPr>
        <w:pStyle w:val="BodyText"/>
      </w:pPr>
      <w:r>
        <w:t xml:space="preserve">C选项错误，更新尽职调查适用于风险缓释，但当前阶段尚未完成事实认定。</w:t>
      </w:r>
    </w:p>
    <w:p>
      <w:pPr>
        <w:pStyle w:val="BodyText"/>
      </w:pPr>
      <w:r>
        <w:t xml:space="preserve">11.一名客户在当地信用机构开立了一个账户10年。该账户每周收到两次相同金额的存款，从未出现可疑行为迹象。监控软件显示，在过去几个月内，该账户收到了几笔与账户历史记录不符的大额存款。当客户表示，她最近出售了一处房产，并附有出售证明。合规官下一步该怎么办?</w:t>
      </w:r>
    </w:p>
    <w:p>
      <w:pPr>
        <w:pStyle w:val="BodyText"/>
      </w:pPr>
      <w:r>
        <w:t xml:space="preserve">A.进一步调查这些异常交易</w:t>
      </w:r>
    </w:p>
    <w:p>
      <w:pPr>
        <w:pStyle w:val="BodyText"/>
      </w:pPr>
      <w:r>
        <w:t xml:space="preserve">B.联系当地金融情报机构寻求建议</w:t>
      </w:r>
    </w:p>
    <w:p>
      <w:pPr>
        <w:pStyle w:val="BodyText"/>
      </w:pPr>
      <w:r>
        <w:t xml:space="preserve">C.向主管当局提交STR</w:t>
      </w:r>
    </w:p>
    <w:p>
      <w:pPr>
        <w:pStyle w:val="BodyText"/>
      </w:pPr>
      <w:r>
        <w:t xml:space="preserve">D.记录未提交STR的原因</w:t>
      </w:r>
    </w:p>
    <w:p>
      <w:pPr>
        <w:pStyle w:val="BodyText"/>
      </w:pPr>
      <w:r>
        <w:t xml:space="preserve">答案:D</w:t>
      </w:r>
    </w:p>
    <w:p>
      <w:pPr>
        <w:pStyle w:val="BodyText"/>
      </w:pPr>
      <w:r>
        <w:t xml:space="preserve">解析:</w:t>
      </w:r>
      <w:r>
        <w:rPr>
          <w:b/>
        </w:rPr>
        <w:t xml:space="preserve">具体知识点:</w:t>
      </w:r>
    </w:p>
    <w:p>
      <w:pPr>
        <w:pStyle w:val="BodyText"/>
      </w:pPr>
      <w:r>
        <w:t xml:space="preserve">合规官的任命和职责</w:t>
      </w:r>
    </w:p>
    <w:p>
      <w:pPr>
        <w:pStyle w:val="BodyText"/>
      </w:pPr>
      <w:r>
        <w:t xml:space="preserve">对合规官而言，至关重要的一点是能够清楚地向高级和执行管理层汇报重要事务，尤其是可能给机构带来风险的重要变化，例如可疑交易报告</w:t>
      </w:r>
      <w:r>
        <w:t xml:space="preserve"> </w:t>
      </w:r>
      <w:r>
        <w:t xml:space="preserve">(STR) 或现金交易报告 (CTR)</w:t>
      </w:r>
      <w:r>
        <w:t xml:space="preserve"> </w:t>
      </w:r>
      <w:r>
        <w:t xml:space="preserve">的数量突然或大量增加。其他应上报管理层的事务包括可能需要立即采取行动的法律法规变动。合规官必须具备必要的技能，能够分析、解释不断发生的变化，确定它们对组织的影响，适时提出行动计划建议。</w:t>
      </w:r>
    </w:p>
    <w:p>
      <w:pPr>
        <w:pStyle w:val="BodyText"/>
      </w:pPr>
      <w:r>
        <w:rPr>
          <w:b/>
        </w:rPr>
        <w:t xml:space="preserve">选项分析:</w:t>
      </w:r>
    </w:p>
    <w:p>
      <w:pPr>
        <w:pStyle w:val="BodyText"/>
      </w:pPr>
      <w:r>
        <w:t xml:space="preserve">A选项错误，客户已经对大额存款给出了看似合理的解释，即出售房产所得，并且附有出售证明。在这种情况下，虽然仍可能存在一些疑问，但进一步调查这些异常交易可能并非当务之急。因为客户提供的信息在一定程度上能够解释资金来源，除非有其他明显的可疑迹象，否则过度调查可能会给客户带来不必要的困扰，也会耗费金融机构的资源。</w:t>
      </w:r>
    </w:p>
    <w:p>
      <w:pPr>
        <w:pStyle w:val="BodyText"/>
      </w:pPr>
      <w:r>
        <w:t xml:space="preserve">B选项错误，通常在遇到较为复杂、难以判断的可疑交易情况时，才会联系当地金融情报机构寻求建议。而在此案例中，客户已经对资金来源做出了说明并提供了证明，尚未达到需要向金融情报机构咨询的程度。如果没有充分的理由就联系金融情报机构，可能会被认为是金融机构自身判断能力不足或过于草率，也可能会对客户造成不良影响。</w:t>
      </w:r>
    </w:p>
    <w:p>
      <w:pPr>
        <w:pStyle w:val="BodyText"/>
      </w:pPr>
      <w:r>
        <w:t xml:space="preserve">C选项错误，提交 STR</w:t>
      </w:r>
      <w:r>
        <w:t xml:space="preserve"> </w:t>
      </w:r>
      <w:r>
        <w:t xml:space="preserve">需要有合理的怀疑表明客户的交易可能涉及洗钱或其他违法犯罪活动。虽然账户出现了与历史记录不符的大额存款，但客户已经给出了合理的解释并提供了证明文件，目前没有足够的证据支持向主管当局提交</w:t>
      </w:r>
      <w:r>
        <w:t xml:space="preserve"> </w:t>
      </w:r>
      <w:r>
        <w:t xml:space="preserve">STR。如果在没有充分证据的情况下提交</w:t>
      </w:r>
      <w:r>
        <w:t xml:space="preserve"> </w:t>
      </w:r>
      <w:r>
        <w:t xml:space="preserve">STR，可能会导致监管机构对金融机构的判断能力产生质疑，也可能会给客户带来不必要的麻烦，影响客户与金融机构的关系。</w:t>
      </w:r>
    </w:p>
    <w:p>
      <w:pPr>
        <w:pStyle w:val="BodyText"/>
      </w:pPr>
      <w:r>
        <w:t xml:space="preserve">D选项正确，客户对大额存款给出了合理的解释且有证明文件，目前没有足够的可疑迹象支持提交</w:t>
      </w:r>
      <w:r>
        <w:t xml:space="preserve"> </w:t>
      </w:r>
      <w:r>
        <w:t xml:space="preserve">STR。但为了确保合规，金融机构需要</w:t>
      </w:r>
      <w:r>
        <w:rPr>
          <w:b/>
        </w:rPr>
        <w:t xml:space="preserve">记录下未提交 STR</w:t>
      </w:r>
      <w:r>
        <w:rPr>
          <w:b/>
        </w:rPr>
        <w:t xml:space="preserve"> </w:t>
      </w:r>
      <w:r>
        <w:rPr>
          <w:b/>
        </w:rPr>
        <w:t xml:space="preserve">的原因</w:t>
      </w:r>
      <w:r>
        <w:t xml:space="preserve">，包括客户提供的解释以及相关证明文件等信息，以便日后如果有新的情况出现或监管机构进行检查时，能够提供清晰的说明，证明金融机构在处理该事件时是经过审慎考虑和合规操作的。</w:t>
      </w:r>
    </w:p>
    <w:p>
      <w:pPr>
        <w:pStyle w:val="BodyText"/>
      </w:pPr>
      <w:r>
        <w:t xml:space="preserve">12.(多选题)根据美国金融犯罪执法网络（FinCEN）的指导，银行账户中的哪些可疑迹象，如果同时出现，可能表明涉及现代奴役、人口贩运和刹削?（请选择两个）</w:t>
      </w:r>
    </w:p>
    <w:p>
      <w:pPr>
        <w:pStyle w:val="BodyText"/>
      </w:pPr>
      <w:r>
        <w:t xml:space="preserve">A.与注册的虚拟货币交易所有交易往来</w:t>
      </w:r>
    </w:p>
    <w:p>
      <w:pPr>
        <w:pStyle w:val="BodyText"/>
      </w:pPr>
      <w:r>
        <w:t xml:space="preserve">B.频繁支付在线广告费用或非本地分类广告费用</w:t>
      </w:r>
    </w:p>
    <w:p>
      <w:pPr>
        <w:pStyle w:val="BodyText"/>
      </w:pPr>
      <w:r>
        <w:t xml:space="preserve">C.收到来自第三方支付处理机构的资金转账，但缺乏完整的付款人信息</w:t>
      </w:r>
    </w:p>
    <w:p>
      <w:pPr>
        <w:pStyle w:val="BodyText"/>
      </w:pPr>
      <w:r>
        <w:t xml:space="preserve">D.向外籍农业工人支付大量现金</w:t>
      </w:r>
    </w:p>
    <w:p>
      <w:pPr>
        <w:pStyle w:val="BodyText"/>
      </w:pPr>
      <w:r>
        <w:t xml:space="preserve">答案:B C</w:t>
      </w:r>
    </w:p>
    <w:p>
      <w:pPr>
        <w:pStyle w:val="BodyText"/>
      </w:pPr>
      <w:r>
        <w:t xml:space="preserve">解析:【2025真题】</w:t>
      </w:r>
    </w:p>
    <w:p>
      <w:pPr>
        <w:pStyle w:val="BodyText"/>
      </w:pPr>
      <w:r>
        <w:rPr>
          <w:b/>
        </w:rPr>
        <w:t xml:space="preserve">具体知识点:</w:t>
      </w:r>
    </w:p>
    <w:p>
      <w:pPr>
        <w:pStyle w:val="BodyText"/>
      </w:pPr>
      <w:r>
        <w:t xml:space="preserve">人口贩卖 (Human Trafficking)</w:t>
      </w:r>
    </w:p>
    <w:p>
      <w:pPr>
        <w:pStyle w:val="BodyText"/>
      </w:pPr>
      <w:r>
        <w:t xml:space="preserve">也称为"人口贩运"。</w:t>
      </w:r>
      <w:r>
        <w:t xml:space="preserve"> </w:t>
      </w:r>
      <w:r>
        <w:t xml:space="preserve">人口贩卖的目的通常是开展性奴役、强制劳动或商业性剥削活动。人口贩卖几乎存在于全球各国，常被称为世界第二大犯罪形式。</w:t>
      </w:r>
    </w:p>
    <w:p>
      <w:pPr>
        <w:pStyle w:val="BodyText"/>
      </w:pPr>
      <w:r>
        <w:rPr>
          <w:b/>
        </w:rPr>
        <w:t xml:space="preserve">选项分析:</w:t>
      </w:r>
    </w:p>
    <w:p>
      <w:pPr>
        <w:pStyle w:val="BodyText"/>
      </w:pPr>
      <w:r>
        <w:t xml:space="preserve">选项</w:t>
      </w:r>
      <w:r>
        <w:t xml:space="preserve"> </w:t>
      </w:r>
      <w:r>
        <w:t xml:space="preserve">B正确，人口贩运者常利用</w:t>
      </w:r>
      <w:r>
        <w:rPr>
          <w:b/>
        </w:rPr>
        <w:t xml:space="preserve">在线广告或非本地分类广告来招募受害者、宣传非法服务</w:t>
      </w:r>
      <w:r>
        <w:t xml:space="preserve">（如性交易</w:t>
      </w:r>
      <w:r>
        <w:t xml:space="preserve"> </w:t>
      </w:r>
      <w:r>
        <w:t xml:space="preserve">）等。频繁支付这类广告费用，可能是在为人口贩运等非法活动做准备或运作，是可疑迹象之一。</w:t>
      </w:r>
    </w:p>
    <w:p>
      <w:pPr>
        <w:pStyle w:val="BodyText"/>
      </w:pPr>
      <w:r>
        <w:t xml:space="preserve">选项</w:t>
      </w:r>
      <w:r>
        <w:t xml:space="preserve"> </w:t>
      </w:r>
      <w:r>
        <w:t xml:space="preserve">C 正确，</w:t>
      </w:r>
      <w:r>
        <w:rPr>
          <w:b/>
        </w:rPr>
        <w:t xml:space="preserve">缺乏完整付款人信息的第三方支付处理机构资金转账，可能是为了掩盖资金来源，隐瞒非法活动（如人口贩运、剥削活动产生的收入</w:t>
      </w:r>
      <w:r>
        <w:rPr>
          <w:b/>
        </w:rPr>
        <w:t xml:space="preserve"> </w:t>
      </w:r>
      <w:r>
        <w:rPr>
          <w:b/>
        </w:rPr>
        <w:t xml:space="preserve">）的资金流向，符合可疑特征。</w:t>
      </w:r>
    </w:p>
    <w:p>
      <w:pPr>
        <w:pStyle w:val="BodyText"/>
      </w:pPr>
      <w:r>
        <w:t xml:space="preserve">选项</w:t>
      </w:r>
      <w:r>
        <w:t xml:space="preserve"> </w:t>
      </w:r>
      <w:r>
        <w:t xml:space="preserve">A 错误，与注册的虚拟货币交易所有交易往来本身不一定就与现代奴役、人口贩运和剥削直接相关</w:t>
      </w:r>
      <w:r>
        <w:t xml:space="preserve"> </w:t>
      </w:r>
      <w:r>
        <w:t xml:space="preserve">。虽然虚拟货币可能被用于洗钱等非法活动，但仅这一点关联性不强。</w:t>
      </w:r>
    </w:p>
    <w:p>
      <w:pPr>
        <w:pStyle w:val="BodyText"/>
      </w:pPr>
      <w:r>
        <w:t xml:space="preserve">选项</w:t>
      </w:r>
      <w:r>
        <w:t xml:space="preserve"> </w:t>
      </w:r>
      <w:r>
        <w:t xml:space="preserve">D错误，向外籍农业工人支付大量现金，可能有多种原因，不一定就意味着涉及现代奴役、人口贩运和剥削</w:t>
      </w:r>
      <w:r>
        <w:t xml:space="preserve"> </w:t>
      </w:r>
      <w:r>
        <w:t xml:space="preserve">。比如可能是当地支付习惯等因素，不能直接判定为可疑迹象。</w:t>
      </w:r>
    </w:p>
    <w:p>
      <w:pPr>
        <w:pStyle w:val="BodyText"/>
      </w:pPr>
      <w:r>
        <w:t xml:space="preserve">13.银行KYC团队的经理发现，一名高风险客户的活动在上个季度未按照银行内部合规计划进行审核KYC团队经理应该怎么做?</w:t>
      </w:r>
    </w:p>
    <w:p>
      <w:pPr>
        <w:pStyle w:val="BodyText"/>
      </w:pPr>
      <w:r>
        <w:t xml:space="preserve">A.提交可疑活动报告（SAR）</w:t>
      </w:r>
    </w:p>
    <w:p>
      <w:pPr>
        <w:pStyle w:val="BodyText"/>
      </w:pPr>
      <w:r>
        <w:t xml:space="preserve">B.将该客户从银行的高风险名单中移除</w:t>
      </w:r>
    </w:p>
    <w:p>
      <w:pPr>
        <w:pStyle w:val="BodyText"/>
      </w:pPr>
      <w:r>
        <w:t xml:space="preserve">C.联系客户关系经理，暂停账户访问，直到完成定期KYC审查</w:t>
      </w:r>
    </w:p>
    <w:p>
      <w:pPr>
        <w:pStyle w:val="BodyText"/>
      </w:pPr>
      <w:r>
        <w:t xml:space="preserve">D.评估KYC审查流程，了解为何未按要求进行审查，并采取必要的纠正措施</w:t>
      </w:r>
    </w:p>
    <w:p>
      <w:pPr>
        <w:pStyle w:val="BodyText"/>
      </w:pPr>
      <w:r>
        <w:t xml:space="preserve">答案:D</w:t>
      </w:r>
    </w:p>
    <w:p>
      <w:pPr>
        <w:pStyle w:val="BodyText"/>
      </w:pPr>
      <w:r>
        <w:t xml:space="preserve">解析:【2025真题】</w:t>
      </w:r>
    </w:p>
    <w:p>
      <w:pPr>
        <w:pStyle w:val="BodyText"/>
      </w:pPr>
      <w:r>
        <w:rPr>
          <w:b/>
        </w:rPr>
        <w:t xml:space="preserve">具体知识点:</w:t>
      </w:r>
    </w:p>
    <w:p>
      <w:pPr>
        <w:pStyle w:val="BodyText"/>
      </w:pPr>
      <w:r>
        <w:t xml:space="preserve">了解您的客户 (KYC)</w:t>
      </w:r>
    </w:p>
    <w:p>
      <w:pPr>
        <w:pStyle w:val="BodyText"/>
      </w:pPr>
      <w:r>
        <w:t xml:space="preserve">用以</w:t>
      </w:r>
      <w:r>
        <w:rPr>
          <w:b/>
        </w:rPr>
        <w:t xml:space="preserve">确定客户真实身份及其正常和预期活动类型并侦测特定客户的异常活动的反洗钱政策和流程</w:t>
      </w:r>
      <w:r>
        <w:t xml:space="preserve"> </w:t>
      </w:r>
      <w:r>
        <w:t xml:space="preserve">.</w:t>
      </w:r>
    </w:p>
    <w:p>
      <w:pPr>
        <w:pStyle w:val="BodyText"/>
      </w:pPr>
      <w:r>
        <w:rPr>
          <w:b/>
        </w:rPr>
        <w:t xml:space="preserve">选项分析:</w:t>
      </w:r>
    </w:p>
    <w:p>
      <w:pPr>
        <w:pStyle w:val="BodyText"/>
      </w:pPr>
      <w:r>
        <w:t xml:space="preserve">A选项错误，仅当发现具体可疑交易或行为时才需提交SAR，未完成审查本身不构成可疑活动。</w:t>
      </w:r>
    </w:p>
    <w:p>
      <w:pPr>
        <w:pStyle w:val="BodyText"/>
      </w:pPr>
      <w:r>
        <w:t xml:space="preserve">B选项错误，高风险客户未经审查不得降级，否则违反反洗钱（AML）原则。</w:t>
      </w:r>
    </w:p>
    <w:p>
      <w:pPr>
        <w:pStyle w:val="BodyText"/>
      </w:pPr>
      <w:r>
        <w:t xml:space="preserve">C选项错误，虽然暂停账户是临时控制措施，但必须先完成审查，确认客户风险是否变化，而非直接限制访问（除非发现可疑活动）。</w:t>
      </w:r>
    </w:p>
    <w:p>
      <w:pPr>
        <w:pStyle w:val="BodyText"/>
      </w:pPr>
      <w:r>
        <w:t xml:space="preserve">D选项正确，</w:t>
      </w:r>
      <w:r>
        <w:rPr>
          <w:b/>
        </w:rPr>
        <w:t xml:space="preserve">评估流程并纠正，首先应调查原因（如系统漏洞、人为疏忽或资源不足），并修复流程缺陷，防止类似问题再次发生。这是合规管理的基本要求，确保内部控制的持续有效性。</w:t>
      </w:r>
    </w:p>
    <w:p>
      <w:pPr>
        <w:pStyle w:val="BodyText"/>
      </w:pPr>
      <w:r>
        <w:t xml:space="preserve">14.下列哪一项是"替代性汇款体系"的最佳描述</w:t>
      </w:r>
    </w:p>
    <w:p>
      <w:pPr>
        <w:pStyle w:val="BodyText"/>
      </w:pPr>
      <w:r>
        <w:t xml:space="preserve">A.在合法银行系统外的跨境价值转移</w:t>
      </w:r>
    </w:p>
    <w:p>
      <w:pPr>
        <w:pStyle w:val="BodyText"/>
      </w:pPr>
      <w:r>
        <w:t xml:space="preserve">B.某些国家用以报告可疑活动的非电子数据汇款系统</w:t>
      </w:r>
    </w:p>
    <w:p>
      <w:pPr>
        <w:pStyle w:val="BodyText"/>
      </w:pPr>
      <w:r>
        <w:t xml:space="preserve">C.通常用于不合作国家和地区的旧式报告要求</w:t>
      </w:r>
    </w:p>
    <w:p>
      <w:pPr>
        <w:pStyle w:val="BodyText"/>
      </w:pPr>
      <w:r>
        <w:t xml:space="preserve">D.使用集中帐户在两个或多个金融机构间进行的资金转移</w:t>
      </w:r>
    </w:p>
    <w:p>
      <w:pPr>
        <w:pStyle w:val="BodyText"/>
      </w:pPr>
      <w:r>
        <w:t xml:space="preserve">答案:A</w:t>
      </w:r>
    </w:p>
    <w:p>
      <w:pPr>
        <w:pStyle w:val="BodyText"/>
      </w:pPr>
      <w:r>
        <w:t xml:space="preserve">解析:</w:t>
      </w:r>
      <w:r>
        <w:rPr>
          <w:b/>
        </w:rPr>
        <w:t xml:space="preserve">具体知识点:</w:t>
      </w:r>
    </w:p>
    <w:p>
      <w:pPr>
        <w:pStyle w:val="BodyText"/>
      </w:pPr>
      <w:r>
        <w:t xml:space="preserve">替代性汇款体系 (Alternative Remittance System; ARS)</w:t>
      </w:r>
    </w:p>
    <w:p>
      <w:pPr>
        <w:pStyle w:val="BodyText"/>
      </w:pPr>
      <w:r>
        <w:rPr>
          <w:b/>
        </w:rPr>
        <w:t xml:space="preserve">地下钱庄或非正规价值转移体系</w:t>
      </w:r>
      <w:r>
        <w:t xml:space="preserve">。通常与中东、非洲或亚洲的族群相关，且通常涉及银行体系以外的跨国价值转移。汇款实体可以是与另一国家或地区代理企业有协议关系的从事商品销售的普通商店</w:t>
      </w:r>
      <w:r>
        <w:t xml:space="preserve">。该体系通常不存在货币的实际转移且缺少关于身份验证和记录保存方面的正规手续。货币转移采用加密信息（通过便条、快递、信件、传真、电子邮件、短信或者在线聊天系统发送）的形式，随后再经某种电信方式确认。</w:t>
      </w:r>
    </w:p>
    <w:p>
      <w:pPr>
        <w:pStyle w:val="BodyText"/>
      </w:pPr>
      <w:r>
        <w:rPr>
          <w:b/>
        </w:rPr>
        <w:t xml:space="preserve">选项分析:</w:t>
      </w:r>
    </w:p>
    <w:p>
      <w:pPr>
        <w:pStyle w:val="BodyText"/>
      </w:pPr>
      <w:r>
        <w:t xml:space="preserve">A选项正确，</w:t>
      </w:r>
      <w:r>
        <w:rPr>
          <w:b/>
        </w:rPr>
        <w:t xml:space="preserve">在合法银行系统外的跨境价值转移。</w:t>
      </w:r>
      <w:r>
        <w:t xml:space="preserve">典型例子:哈瓦拉（Hawala）、芬卡（Fei</w:t>
      </w:r>
      <w:r>
        <w:t xml:space="preserve"> </w:t>
      </w:r>
      <w:r>
        <w:t xml:space="preserve">Ch'ien）</w:t>
      </w:r>
      <w:r>
        <w:t xml:space="preserve"> </w:t>
      </w:r>
      <w:r>
        <w:t xml:space="preserve">等地下汇款网络。通过信任网络和中间人完成跨境资金转移，无需实际资金跨境流动（依赖账目对冲）。缺乏监管，易被用于洗钱、恐怖融资或逃避制裁（如FATF特别监控名单中的系统）。</w:t>
      </w:r>
    </w:p>
    <w:p>
      <w:pPr>
        <w:pStyle w:val="BodyText"/>
      </w:pPr>
      <w:r>
        <w:t xml:space="preserve">B选项错误，非电子数据汇款系统:与"替代性"无关，仅是技术形式。</w:t>
      </w:r>
    </w:p>
    <w:p>
      <w:pPr>
        <w:pStyle w:val="BodyText"/>
      </w:pPr>
      <w:r>
        <w:t xml:space="preserve">C选项错误，旧式报告要求:完全无关，混淆概念。</w:t>
      </w:r>
    </w:p>
    <w:p>
      <w:pPr>
        <w:pStyle w:val="BodyText"/>
      </w:pPr>
      <w:r>
        <w:t xml:space="preserve">D选项错误，集中账户跨机构转账:属于正规银行系统内的操作（如代理行清算），非替代性体系。</w:t>
      </w:r>
    </w:p>
    <w:p>
      <w:pPr>
        <w:pStyle w:val="BodyText"/>
      </w:pPr>
      <w:r>
        <w:t xml:space="preserve">15.(多选题)(多选题)</w:t>
      </w:r>
      <w:r>
        <w:t xml:space="preserve"> </w:t>
      </w:r>
      <w:r>
        <w:t xml:space="preserve">根据沃尔夫斯堡代理银行原则，空壳银行符合哪三个标准?（选择三个）</w:t>
      </w:r>
    </w:p>
    <w:p>
      <w:pPr>
        <w:pStyle w:val="BodyText"/>
      </w:pPr>
      <w:r>
        <w:t xml:space="preserve">A.未在其被授权开展业务的司法管辖区内的固定地址开展业务</w:t>
      </w:r>
    </w:p>
    <w:p>
      <w:pPr>
        <w:pStyle w:val="BodyText"/>
      </w:pPr>
      <w:r>
        <w:t xml:space="preserve">B.在其被授权在某固定地址开展业务或维护运营记录的地方，却未雇佣一名或多名个人</w:t>
      </w:r>
    </w:p>
    <w:p>
      <w:pPr>
        <w:pStyle w:val="BodyText"/>
      </w:pPr>
      <w:r>
        <w:t xml:space="preserve">C.它不受要求实施反洗钱计划的反洗钱法律的约束</w:t>
      </w:r>
    </w:p>
    <w:p>
      <w:pPr>
        <w:pStyle w:val="BodyText"/>
      </w:pPr>
      <w:r>
        <w:t xml:space="preserve">D.它不受授权其开展银行业务的银行管理局的检查</w:t>
      </w:r>
    </w:p>
    <w:p>
      <w:pPr>
        <w:pStyle w:val="BodyText"/>
      </w:pPr>
      <w:r>
        <w:t xml:space="preserve">答案:A B D</w:t>
      </w:r>
    </w:p>
    <w:p>
      <w:pPr>
        <w:pStyle w:val="BodyText"/>
      </w:pPr>
      <w:r>
        <w:t xml:space="preserve">解析:</w:t>
      </w:r>
      <w:r>
        <w:rPr>
          <w:b/>
        </w:rPr>
        <w:t xml:space="preserve">具体知识点:</w:t>
      </w:r>
    </w:p>
    <w:p>
      <w:pPr>
        <w:pStyle w:val="BodyText"/>
      </w:pPr>
      <w:r>
        <w:rPr>
          <w:b/>
        </w:rPr>
        <w:t xml:space="preserve">空壳银行 (Shell Bank)</w:t>
      </w:r>
      <w:r>
        <w:rPr>
          <w:b/>
        </w:rPr>
        <w:t xml:space="preserve"> </w:t>
      </w:r>
      <w:r>
        <w:rPr>
          <w:b/>
        </w:rPr>
        <w:t xml:space="preserve">仅在名义上存在的银行，在其成立或经营许可国并无实体经营，且不隶属于任何接受全面有效监管的金融服务集团。</w:t>
      </w:r>
    </w:p>
    <w:p>
      <w:pPr>
        <w:pStyle w:val="BodyText"/>
      </w:pPr>
      <w:r>
        <w:rPr>
          <w:b/>
        </w:rPr>
        <w:t xml:space="preserve">选项分析: </w:t>
      </w:r>
    </w:p>
    <w:p>
      <w:pPr>
        <w:pStyle w:val="BodyText"/>
      </w:pPr>
      <w:r>
        <w:t xml:space="preserve">根据《沃尔夫斯堡代理银行金融犯罪原则》1，空壳银行是指在其注册和许可的司法管辖区内没有实体存在，并且与受有效综合监管的受监管金融集团无关的银行。身体的存在意味着有意义的思想和位于一个国家内的管理层。仅仅存在当地代理人或低级别工作人员并不构成实际存在。因此，空壳银行符合标准A、B和D选项，因为它不在固定地址开展业务，不雇佣一个或多个个人，也不在该地址保存运营记录，也不接受授权银行当局的检查。</w:t>
      </w:r>
      <w:r>
        <w:t xml:space="preserve"> </w:t>
      </w:r>
      <w:r>
        <w:t xml:space="preserve">标准C并不适用于空壳银行，因为任何银行，无论是否空壳，都可能或可能不受要求其实施反洗钱计划的反洗钱法律的约束，具体取决于司法管辖区。</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2026-07-24T04:53:42Z</dcterms:created>
  <dcterms:modified xsi:type="dcterms:W3CDTF">2026-07-24T04:53:42Z</dcterms:modified>
</cp:coreProperties>
</file>

<file path=docProps/custom.xml><?xml version="1.0" encoding="utf-8"?>
<Properties xmlns="http://schemas.openxmlformats.org/officeDocument/2006/custom-properties" xmlns:vt="http://schemas.openxmlformats.org/officeDocument/2006/docPropsVTypes"/>
</file>