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CH03 (中英对照)</w:t>
      </w:r>
    </w:p>
    <w:p>
      <w:pPr>
        <w:spacing w:line="360" w:lineRule="auto" w:after="160"/>
      </w:pPr>
      <w:r>
        <w:t>一、单项选择题</w:t>
      </w:r>
    </w:p>
    <w:p>
      <w:pPr>
        <w:spacing w:line="360" w:lineRule="auto" w:after="40"/>
      </w:pPr>
      <w:r>
        <w:t>1. 以下哪种情况代表货币服务企业（MSB）的最高洗钱风险？</w:t>
      </w:r>
      <w:r>
        <w:br/>
      </w:r>
      <w:r>
        <w:t>Which of the following presents the highest money laundering risk from a money services business (MSB)?</w:t>
      </w:r>
    </w:p>
    <w:p>
      <w:pPr>
        <w:spacing w:line="360" w:lineRule="auto" w:after="20"/>
      </w:pPr>
      <w:r>
        <w:t>A.一些货币服务企业在零售客户完成尽职调查程序后，为其提供货币兑换服务。</w:t>
      </w:r>
      <w:r>
        <w:br/>
      </w:r>
      <w:r>
        <w:t>Some MSBs provide bureau de change services to retail customers after they complete a due diligence process.</w:t>
      </w:r>
    </w:p>
    <w:p>
      <w:pPr>
        <w:spacing w:line="360" w:lineRule="auto" w:after="20"/>
      </w:pPr>
      <w:r>
        <w:t>B.一些货币服务企业代表客户处理大额单笔现金交易。</w:t>
      </w:r>
      <w:r>
        <w:br/>
      </w:r>
      <w:r>
        <w:t>Some MSBs process large, individual cash transactions on behalf of customers.</w:t>
      </w:r>
    </w:p>
    <w:p>
      <w:pPr>
        <w:spacing w:line="360" w:lineRule="auto" w:after="20"/>
      </w:pPr>
      <w:r>
        <w:t>C.一些货币服务企业允许客户定期且频繁地向居住在另一国家的同一名或同一组家庭成员转账。</w:t>
      </w:r>
      <w:r>
        <w:br/>
      </w:r>
      <w:r>
        <w:t>Some MSBs allow regular and frequent transactions to the same family members based in another country.</w:t>
      </w:r>
    </w:p>
    <w:p>
      <w:pPr>
        <w:spacing w:line="360" w:lineRule="auto" w:after="20"/>
      </w:pPr>
      <w:r>
        <w:t>D.一些货币服务企业代表在国外工作的人员处理小额汇款，将钱汇回国内。</w:t>
      </w:r>
      <w:r>
        <w:br/>
      </w:r>
      <w:r>
        <w:t>Some MSBs process small remittance payments on behalf of workers based abroad sending money home.</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现金交易的匿名性与难以追溯特征在货币服务企业（MSB）场景中构成最高风险</w:t>
      </w:r>
    </w:p>
    <w:p>
      <w:pPr>
        <w:spacing w:before="120" w:after="40"/>
      </w:pPr>
      <w:r>
        <w:rPr>
          <w:b/>
          <w:sz w:val="21"/>
          <w:shd w:fill="D6E4F0" w:val="clear"/>
        </w:rPr>
        <w:t>核心解析：</w:t>
      </w:r>
    </w:p>
    <w:p>
      <w:pPr>
        <w:spacing w:line="360" w:lineRule="auto" w:after="40"/>
        <w:ind w:firstLine="420"/>
      </w:pPr>
      <w:r>
        <w:t>无银行账户的客户因缺乏金融历史记录</w:t>
      </w:r>
      <w:r>
        <w:rPr>
          <w:sz w:val="15"/>
          <w:vertAlign w:val="superscript"/>
        </w:rPr>
        <w:t>P95</w:t>
      </w:r>
      <w:r>
        <w:t>，高度依赖现金交易，这给货币服务企业（MSB）带来了</w:t>
      </w:r>
      <w:r>
        <w:rPr>
          <w:b/>
        </w:rPr>
        <w:t>难以追踪大量交易和确认资金来源</w:t>
      </w:r>
      <w:r>
        <w:t>的特殊漏洞</w:t>
      </w:r>
      <w:r>
        <w:rPr>
          <w:sz w:val="15"/>
          <w:vertAlign w:val="superscript"/>
        </w:rPr>
        <w:t>P95</w:t>
      </w:r>
      <w:r>
        <w:t>。题干中“代表客户处理大额单笔现金交易”的情况，将现金的固有高匿名性、可替代性与“大额”带来的潜在危害放大效应结合在了一起。教材案例也佐证，高现金业务客户有频繁现金存款尚属正常，但这一特征结合大额单笔发生时，便是典型的异常情景</w:t>
      </w:r>
      <w:r>
        <w:rPr>
          <w:sz w:val="15"/>
          <w:vertAlign w:val="superscript"/>
        </w:rPr>
        <w:t>P444</w:t>
      </w:r>
      <w:r>
        <w:t>。相比之下，其他选项虽然分别具备跨境、频繁等特征，但并未叠加</w:t>
      </w:r>
      <w:r>
        <w:rPr>
          <w:b/>
        </w:rPr>
        <w:t>现金匿名性</w:t>
      </w:r>
      <w:r>
        <w:t>这一核心风险要素，因此选项B代表的洗钱风险最高。</w:t>
      </w:r>
    </w:p>
    <w:p>
      <w:pPr>
        <w:spacing w:before="120" w:after="40"/>
      </w:pPr>
      <w:r>
        <w:rPr>
          <w:b/>
          <w:sz w:val="21"/>
          <w:shd w:fill="D6E4F0" w:val="clear"/>
        </w:rPr>
        <w:t>教材原句：</w:t>
      </w:r>
    </w:p>
    <w:p>
      <w:pPr>
        <w:spacing w:line="360" w:lineRule="auto" w:after="40"/>
        <w:ind w:firstLine="420"/>
      </w:pPr>
      <w:r>
        <w:t>"Cash transactions: Unbanked individuals rely on cash, which can create vulnerabilities for MSBs, such as difficulty in tracking a high volume of transactions and ascertaining the source of these funds."</w:t>
      </w:r>
    </w:p>
    <w:p>
      <w:pPr>
        <w:spacing w:before="120" w:after="40"/>
      </w:pPr>
      <w:r>
        <w:rPr>
          <w:b/>
          <w:sz w:val="21"/>
          <w:shd w:fill="D6E4F0" w:val="clear"/>
        </w:rPr>
        <w:t>A项错误：</w:t>
      </w:r>
    </w:p>
    <w:p>
      <w:pPr>
        <w:spacing w:line="360" w:lineRule="auto" w:after="40"/>
        <w:ind w:firstLine="420"/>
      </w:pPr>
      <w:r>
        <w:t>该选项中的业务发生在“完成尽职调查程序后”，这正是执行客户身份识别与风险评估</w:t>
      </w:r>
      <w:r>
        <w:rPr>
          <w:sz w:val="15"/>
          <w:vertAlign w:val="superscript"/>
        </w:rPr>
        <w:t>P374</w:t>
      </w:r>
      <w:r>
        <w:t>降低风险的合规动作。后续提供货币兑换属于货币服务企业常规服务</w:t>
      </w:r>
      <w:r>
        <w:rPr>
          <w:sz w:val="15"/>
          <w:vertAlign w:val="superscript"/>
        </w:rPr>
        <w:t>P93</w:t>
      </w:r>
      <w:r>
        <w:t>，其整体风险水平远低于处理来源不明的“大额现金”交易。</w:t>
      </w:r>
    </w:p>
    <w:p>
      <w:pPr>
        <w:spacing w:before="120" w:after="40"/>
      </w:pPr>
      <w:r>
        <w:rPr>
          <w:b/>
          <w:sz w:val="21"/>
          <w:shd w:fill="D6E4F0" w:val="clear"/>
        </w:rPr>
        <w:t>C项错误：</w:t>
      </w:r>
    </w:p>
    <w:p>
      <w:pPr>
        <w:spacing w:line="360" w:lineRule="auto" w:after="40"/>
        <w:ind w:firstLine="420"/>
      </w:pPr>
      <w:r>
        <w:t>虽然教材指出跨境交易因涉及不同司法管辖区的法律而在合规上更复杂</w:t>
      </w:r>
      <w:r>
        <w:rPr>
          <w:sz w:val="15"/>
          <w:vertAlign w:val="superscript"/>
        </w:rPr>
        <w:t>P95</w:t>
      </w:r>
      <w:r>
        <w:t>，但“定期且频繁地向居住在另一国家的同一名或同一组家庭成员转账”是一种存在合理亲属背景解释的可预期模式。而大额现金交易（选项B）的匿名性使得其内在的非法资金转移风险更高，更难通过模式分析来排除可疑风险。</w:t>
      </w:r>
    </w:p>
    <w:p>
      <w:pPr>
        <w:spacing w:before="120" w:after="40"/>
      </w:pPr>
      <w:r>
        <w:rPr>
          <w:b/>
          <w:sz w:val="21"/>
          <w:shd w:fill="D6E4F0" w:val="clear"/>
        </w:rPr>
        <w:t>D项错误：</w:t>
      </w:r>
    </w:p>
    <w:p>
      <w:pPr>
        <w:spacing w:line="360" w:lineRule="auto" w:after="40"/>
        <w:ind w:firstLine="420"/>
      </w:pPr>
      <w:r>
        <w:t>在国外工作人员将“小额”收入汇回本国是货币服务企业（MSB）最常规的汇款业务场景，其资金来源明确且金额较小。相比于无银行账户客户的大额现金交易在溯源上的重大困难，该选项代表的风险程度明显更低。</w:t>
      </w:r>
    </w:p>
    <w:p>
      <w:pPr>
        <w:spacing w:before="120" w:after="40"/>
      </w:pPr>
      <w:r>
        <w:rPr>
          <w:b/>
          <w:sz w:val="21"/>
          <w:shd w:fill="D6E4F0" w:val="clear"/>
        </w:rPr>
        <w:t>易错提醒：</w:t>
      </w:r>
    </w:p>
    <w:p>
      <w:pPr>
        <w:spacing w:line="360" w:lineRule="auto" w:after="40"/>
        <w:ind w:firstLine="420"/>
      </w:pPr>
      <w:r>
        <w:t>在判断风险时，需要区分“交易的内在固有风险”与“交易的外部环境风险”。大额现金交易（选项B）的内在风险在于资金匿名、难以溯源，这是洗钱的核心特征；而跨境交易（选项C和D）的外部环境风险主要在于合规复杂度增加，但若交易本身具备合理解释（如家人转账），其整体风险等级不及大额匿名现金。</w:t>
      </w:r>
    </w:p>
    <w:p>
      <w:pPr>
        <w:spacing w:line="360" w:lineRule="auto" w:after="120"/>
      </w:pPr>
      <w:r/>
    </w:p>
    <w:p>
      <w:pPr>
        <w:spacing w:line="360" w:lineRule="auto" w:after="40"/>
      </w:pPr>
      <w:r>
        <w:t>2. 以下哪些风险因素被许多监管机构视为与货币服务企业相关的较高固有风险？（选择两项。）</w:t>
      </w:r>
      <w:r>
        <w:br/>
      </w:r>
      <w:r>
        <w:t>Which of the following risk factors are considered by many supervisory authorities as representing a higher inherent risk associated with MSBs? (Select Two.)</w:t>
      </w:r>
    </w:p>
    <w:p>
      <w:pPr>
        <w:spacing w:line="360" w:lineRule="auto" w:after="20"/>
      </w:pPr>
      <w:r>
        <w:t>A.利用新技术实现远程客户开户流程的便捷化</w:t>
      </w:r>
      <w:r>
        <w:br/>
      </w:r>
      <w:r>
        <w:t>The use of new technologies to facilitate the onboarding of customers remotely</w:t>
      </w:r>
    </w:p>
    <w:p>
      <w:pPr>
        <w:spacing w:line="360" w:lineRule="auto" w:after="20"/>
      </w:pPr>
      <w:r>
        <w:t>B.国际电汇的普遍性</w:t>
      </w:r>
      <w:r>
        <w:br/>
      </w:r>
      <w:r>
        <w:t>The prevalence of international wire transfers</w:t>
      </w:r>
    </w:p>
    <w:p>
      <w:pPr>
        <w:spacing w:line="360" w:lineRule="auto" w:after="20"/>
      </w:pPr>
      <w:r>
        <w:t>C.与中小企业的国内业务</w:t>
      </w:r>
      <w:r>
        <w:br/>
      </w:r>
      <w:r>
        <w:t>Domestic business with small and medium-sized enterprises</w:t>
      </w:r>
    </w:p>
    <w:p>
      <w:pPr>
        <w:spacing w:line="360" w:lineRule="auto" w:after="20"/>
      </w:pPr>
      <w:r>
        <w:t>D.所提供服务的现金密集型特点</w:t>
      </w:r>
      <w:r>
        <w:br/>
      </w:r>
      <w:r>
        <w:t>The cash-intensive nature of the services offered</w:t>
      </w:r>
    </w:p>
    <w:p>
      <w:pPr>
        <w:spacing w:line="360" w:lineRule="auto" w:after="20"/>
      </w:pPr>
      <w:r>
        <w:t>E.使用数字渠道和可追踪的支付方式</w:t>
      </w:r>
      <w:r>
        <w:br/>
      </w:r>
      <w:r>
        <w:t>The use of digital channels and traceable payment methods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识别MSB较高固有风险的直接行业特征：大量跨境汇款与现金交易的可追踪性困难</w:t>
      </w:r>
    </w:p>
    <w:p>
      <w:pPr>
        <w:spacing w:before="120" w:after="40"/>
      </w:pPr>
      <w:r>
        <w:rPr>
          <w:b/>
          <w:sz w:val="21"/>
          <w:shd w:fill="D6E4F0" w:val="clear"/>
        </w:rPr>
        <w:t>核心解析：</w:t>
      </w:r>
    </w:p>
    <w:p>
      <w:pPr>
        <w:spacing w:line="360" w:lineRule="auto" w:after="40"/>
        <w:ind w:firstLine="420"/>
      </w:pPr>
      <w:r>
        <w:t>货币服务企业（MSB）经常服务缺乏传统银行服务的客户。教材指出，此类客户依赖</w:t>
      </w:r>
      <w:r>
        <w:rPr>
          <w:b/>
        </w:rPr>
        <w:t>现金交易</w:t>
      </w:r>
      <w:r>
        <w:t>，会使MSB难以追踪大量交易并确认资金来源</w:t>
      </w:r>
      <w:r>
        <w:rPr>
          <w:sz w:val="15"/>
          <w:vertAlign w:val="superscript"/>
        </w:rPr>
        <w:t>P95</w:t>
      </w:r>
      <w:r>
        <w:t>，因此D“所提供服务的现金密集型特点”直接增加MSB的固有洗钱风险。教材还明确指出，这些风险通常超出传统金融机构的风险偏好，尤其源于</w:t>
      </w:r>
      <w:r>
        <w:rPr>
          <w:b/>
        </w:rPr>
        <w:t>大量跨境汇款</w:t>
      </w:r>
      <w:r>
        <w:rPr>
          <w:sz w:val="15"/>
          <w:vertAlign w:val="superscript"/>
        </w:rPr>
        <w:t>P95</w:t>
      </w:r>
      <w:r>
        <w:t>。大量国际汇款涉及资金跨越不同司法管辖区，增加交易追踪、制裁合规和监管协调的复杂性；教材也说明电汇具有国际性，更易用于跨境转移资金</w:t>
      </w:r>
      <w:r>
        <w:rPr>
          <w:sz w:val="15"/>
          <w:vertAlign w:val="superscript"/>
        </w:rPr>
        <w:t>P78</w:t>
      </w:r>
      <w:r>
        <w:t>，因此B“国际电汇的普遍性”也是MSB较高固有风险的直接表现。B、D分别对应MSB业务中的“大量跨境汇款”和</w:t>
      </w:r>
      <w:r>
        <w:rPr>
          <w:b/>
        </w:rPr>
        <w:t>“现金交易难以追踪”</w:t>
      </w:r>
      <w:r>
        <w:t>两项直接行业风险，故应选择B、D。</w:t>
      </w:r>
    </w:p>
    <w:p>
      <w:pPr>
        <w:spacing w:before="120" w:after="40"/>
      </w:pPr>
      <w:r>
        <w:rPr>
          <w:b/>
          <w:sz w:val="21"/>
          <w:shd w:fill="D6E4F0" w:val="clear"/>
        </w:rPr>
        <w:t>教材原句：</w:t>
      </w:r>
    </w:p>
    <w:p>
      <w:pPr>
        <w:spacing w:line="360" w:lineRule="auto" w:after="40"/>
        <w:ind w:firstLine="420"/>
      </w:pPr>
      <w:r>
        <w:t>"These risks typically fall outside the risk appetite of traditional financial institutions, particularly due to the substantial volume of cross-border remittances."</w:t>
      </w:r>
      <w:r>
        <w:rPr>
          <w:sz w:val="15"/>
          <w:vertAlign w:val="superscript"/>
        </w:rPr>
        <w:t>P95</w:t>
      </w:r>
    </w:p>
    <w:p>
      <w:pPr>
        <w:spacing w:before="120" w:after="40"/>
      </w:pPr>
      <w:r>
        <w:rPr>
          <w:b/>
          <w:sz w:val="21"/>
          <w:shd w:fill="D6E4F0" w:val="clear"/>
        </w:rPr>
        <w:t>A项错误：</w:t>
      </w:r>
    </w:p>
    <w:p>
      <w:pPr>
        <w:spacing w:line="360" w:lineRule="auto" w:after="40"/>
        <w:ind w:firstLine="420"/>
      </w:pPr>
      <w:r>
        <w:t>远程开户确实可能增加身份验证风险，使犯罪分子更容易使用虚假或被盗身份并利用技术弱点</w:t>
      </w:r>
      <w:r>
        <w:rPr>
          <w:sz w:val="15"/>
          <w:vertAlign w:val="superscript"/>
        </w:rPr>
        <w:t>P63</w:t>
      </w:r>
      <w:r>
        <w:t>。但教材同时指出，非面对面业务关系只有在机构未实施适当风险缓解措施时才被视为较高风险情形</w:t>
      </w:r>
      <w:r>
        <w:rPr>
          <w:sz w:val="15"/>
          <w:vertAlign w:val="superscript"/>
        </w:rPr>
        <w:t>P404</w:t>
      </w:r>
      <w:r>
        <w:t>。因此，A属于具有条件性的一般开户渠道风险，并非像大量跨境汇款和现金密集性那样，直接、普遍地体现MSB行业的较高固有风险。</w:t>
      </w:r>
    </w:p>
    <w:p>
      <w:pPr>
        <w:spacing w:before="120" w:after="40"/>
      </w:pPr>
      <w:r>
        <w:rPr>
          <w:b/>
          <w:sz w:val="21"/>
          <w:shd w:fill="D6E4F0" w:val="clear"/>
        </w:rPr>
        <w:t>C项错误：</w:t>
      </w:r>
    </w:p>
    <w:p>
      <w:pPr>
        <w:spacing w:line="360" w:lineRule="auto" w:after="40"/>
        <w:ind w:firstLine="420"/>
      </w:pPr>
      <w:r>
        <w:t>与中小企业开展国内业务本身不具有题干所强调的大量跨境汇款、现金密集或资金难以追踪等特征。不能仅因客户属于中小企业，就认定该业务构成MSB较高固有风险；相比之下，B与教材所述MSB大量跨境汇款风险直接对应。</w:t>
      </w:r>
    </w:p>
    <w:p>
      <w:pPr>
        <w:spacing w:before="120" w:after="40"/>
      </w:pPr>
      <w:r>
        <w:rPr>
          <w:b/>
          <w:sz w:val="21"/>
          <w:shd w:fill="D6E4F0" w:val="clear"/>
        </w:rPr>
        <w:t>E项错误：</w:t>
      </w:r>
    </w:p>
    <w:p>
      <w:pPr>
        <w:spacing w:line="360" w:lineRule="auto" w:after="40"/>
        <w:ind w:firstLine="420"/>
      </w:pPr>
      <w:r>
        <w:t>数字渠道本身不能一概认定为低风险，但本选项特别限定了“可追踪的支付方式”。较强的可追踪性能够形成更清晰的交易记录，有助于识别资金来源和流向，与教材所指出的现金交易难以追踪、难以确认资金来源的高风险特征方向相反。</w:t>
      </w:r>
    </w:p>
    <w:p>
      <w:pPr>
        <w:spacing w:before="120" w:after="40"/>
      </w:pPr>
      <w:r>
        <w:rPr>
          <w:b/>
          <w:sz w:val="21"/>
          <w:shd w:fill="D6E4F0" w:val="clear"/>
        </w:rPr>
        <w:t>易错提醒：</w:t>
      </w:r>
    </w:p>
    <w:p>
      <w:pPr>
        <w:spacing w:line="360" w:lineRule="auto" w:after="40"/>
        <w:ind w:firstLine="420"/>
      </w:pPr>
      <w:r>
        <w:t>远程开户可能带来附加验证风险</w:t>
      </w:r>
      <w:r>
        <w:rPr>
          <w:sz w:val="15"/>
          <w:vertAlign w:val="superscript"/>
        </w:rPr>
        <w:t>P63</w:t>
      </w:r>
      <w:r>
        <w:t>，但不能据此把所有数字化开户直接认定为MSB较高固有风险。作答时应抓住题干中的“与MSB相关”和“较高固有风险”，优先选择教材直接指出的大量跨境汇款和现金交易追踪困难</w:t>
      </w:r>
      <w:r>
        <w:rPr>
          <w:sz w:val="15"/>
          <w:vertAlign w:val="superscript"/>
        </w:rPr>
        <w:t>P95</w:t>
      </w:r>
      <w:r>
        <w:t>。</w:t>
      </w:r>
    </w:p>
    <w:p>
      <w:pPr>
        <w:spacing w:line="360" w:lineRule="auto" w:after="120"/>
      </w:pPr>
      <w:r/>
    </w:p>
    <w:p>
      <w:pPr>
        <w:spacing w:line="360" w:lineRule="auto" w:after="40"/>
      </w:pPr>
      <w:r>
        <w:t>3. 电子商务商业模式面临哪些常见的金融犯罪风险？（选择三项。）</w:t>
      </w:r>
      <w:r>
        <w:br/>
      </w:r>
      <w:r>
        <w:t>What are the common financial crime risks posed to the e-commerce business model? (Select Three.)</w:t>
      </w:r>
    </w:p>
    <w:p>
      <w:pPr>
        <w:spacing w:line="360" w:lineRule="auto" w:after="20"/>
      </w:pPr>
      <w:r>
        <w:t>A.通过不交付商品或服务而对客户实施欺诈</w:t>
      </w:r>
      <w:r>
        <w:br/>
      </w:r>
      <w:r>
        <w:t>Committing fraud against the customer by failing to deliver goods or services</w:t>
      </w:r>
    </w:p>
    <w:p>
      <w:pPr>
        <w:spacing w:line="360" w:lineRule="auto" w:after="20"/>
      </w:pPr>
      <w:r>
        <w:t>B.利用在线市场转移犯罪所得资金</w:t>
      </w:r>
      <w:r>
        <w:br/>
      </w:r>
      <w:r>
        <w:t>Abusing online marketplaces to move criminally obtained funds</w:t>
      </w:r>
    </w:p>
    <w:p>
      <w:pPr>
        <w:spacing w:line="360" w:lineRule="auto" w:after="20"/>
      </w:pPr>
      <w:r>
        <w:t>C.避开出口管制规定</w:t>
      </w:r>
      <w:r>
        <w:br/>
      </w:r>
      <w:r>
        <w:t>Evading export control regulations</w:t>
      </w:r>
    </w:p>
    <w:p>
      <w:pPr>
        <w:spacing w:line="360" w:lineRule="auto" w:after="20"/>
      </w:pPr>
      <w:r>
        <w:t>D.使用被盗银行卡数据购买商品或服务</w:t>
      </w:r>
      <w:r>
        <w:br/>
      </w:r>
      <w:r>
        <w:t>Buying goods or services using stolen bank card data</w:t>
      </w:r>
    </w:p>
    <w:p>
      <w:pPr>
        <w:spacing w:line="360" w:lineRule="auto" w:after="20"/>
      </w:pPr>
      <w:r>
        <w:t>E.行贿受贿和贪污腐败</w:t>
      </w:r>
      <w:r>
        <w:br/>
      </w:r>
      <w:r>
        <w:t>Committing bribery and corruption</w:t>
      </w:r>
    </w:p>
    <w:p>
      <w:pPr>
        <w:spacing w:line="360" w:lineRule="auto" w:after="40"/>
      </w:pPr>
      <w:r>
        <w:t>答案:A、B、D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识别教材P98列举的电子商务商业模式特有金融犯罪风险</w:t>
      </w:r>
    </w:p>
    <w:p>
      <w:pPr>
        <w:spacing w:before="120" w:after="40"/>
      </w:pPr>
      <w:r>
        <w:rPr>
          <w:b/>
          <w:sz w:val="21"/>
          <w:shd w:fill="D6E4F0" w:val="clear"/>
        </w:rPr>
        <w:t>核心解析：</w:t>
      </w:r>
    </w:p>
    <w:p>
      <w:pPr>
        <w:spacing w:line="360" w:lineRule="auto" w:after="40"/>
        <w:ind w:firstLine="420"/>
      </w:pPr>
      <w:r>
        <w:t>与电子商务相关的关键金融犯罪风险包括三类：</w:t>
      </w:r>
      <w:r>
        <w:rPr>
          <w:b/>
        </w:rPr>
        <w:t>消费者欺诈</w:t>
      </w:r>
      <w:r>
        <w:t>，即卖家收款后不交付商品或服务；</w:t>
      </w:r>
      <w:r>
        <w:rPr>
          <w:b/>
        </w:rPr>
        <w:t>使用被盗信用卡、借记卡或其他支付数据购买商品或服务</w:t>
      </w:r>
      <w:r>
        <w:t>；以及</w:t>
      </w:r>
      <w:r>
        <w:rPr>
          <w:b/>
        </w:rPr>
        <w:t>将电子商务企业作为非法交易的幌子或用于清洗非法资金</w:t>
      </w:r>
      <w:r>
        <w:rPr>
          <w:sz w:val="15"/>
          <w:vertAlign w:val="superscript"/>
        </w:rPr>
        <w:t>P98</w:t>
      </w:r>
      <w:r>
        <w:t>。题干问的是电子商务商业模式面临的常见金融犯罪风险。选项A对应消费者欺诈，选项D对应使用被盗银行卡数据购买，选项B对应利用在线市场作为幌子转移犯罪所得资金，因此应选A、B、D。</w:t>
      </w:r>
    </w:p>
    <w:p>
      <w:pPr>
        <w:spacing w:before="120" w:after="40"/>
      </w:pPr>
      <w:r>
        <w:rPr>
          <w:b/>
          <w:sz w:val="21"/>
          <w:shd w:fill="D6E4F0" w:val="clear"/>
        </w:rPr>
        <w:t>教材原句：</w:t>
      </w:r>
    </w:p>
    <w:p>
      <w:pPr>
        <w:spacing w:line="360" w:lineRule="auto" w:after="40"/>
        <w:ind w:firstLine="420"/>
      </w:pPr>
      <w:r>
        <w:t>"Key financial crime risks associated with e-commerce include:"</w:t>
      </w:r>
      <w:r>
        <w:rPr>
          <w:sz w:val="15"/>
          <w:vertAlign w:val="superscript"/>
        </w:rPr>
        <w:t>P98</w:t>
      </w:r>
    </w:p>
    <w:p>
      <w:pPr>
        <w:spacing w:before="120" w:after="40"/>
      </w:pPr>
      <w:r>
        <w:rPr>
          <w:b/>
          <w:sz w:val="21"/>
          <w:shd w:fill="D6E4F0" w:val="clear"/>
        </w:rPr>
        <w:t>C项错误：</w:t>
      </w:r>
    </w:p>
    <w:p>
      <w:pPr>
        <w:spacing w:line="360" w:lineRule="auto" w:after="40"/>
        <w:ind w:firstLine="420"/>
      </w:pPr>
      <w:r>
        <w:t>避开出口管制规定（evading export control regulations）本身是制裁规避中的贸易相关手法。相比之下，电商场景下的风险更直接指向消费者欺诈、支付数据盗用和平台被用作洗钱幌子，C的匹配度不如A、B、D直接。</w:t>
      </w:r>
    </w:p>
    <w:p>
      <w:pPr>
        <w:spacing w:before="120" w:after="40"/>
      </w:pPr>
      <w:r>
        <w:rPr>
          <w:b/>
          <w:sz w:val="21"/>
          <w:shd w:fill="D6E4F0" w:val="clear"/>
        </w:rPr>
        <w:t>E项错误：</w:t>
      </w:r>
    </w:p>
    <w:p>
      <w:pPr>
        <w:spacing w:line="360" w:lineRule="auto" w:after="40"/>
        <w:ind w:firstLine="420"/>
      </w:pPr>
      <w:r>
        <w:t>行贿受贿和贪污腐败（bribery and corruption）属于上游犯罪和广义腐败行为。题干问的是电子商务商业模式面临的典型风险，而非所有可能的上游犯罪类型，E与电商场景的关联不如A、B、D直接。</w:t>
      </w:r>
    </w:p>
    <w:p>
      <w:pPr>
        <w:spacing w:before="120" w:after="40"/>
      </w:pPr>
      <w:r>
        <w:rPr>
          <w:b/>
          <w:sz w:val="21"/>
          <w:shd w:fill="D6E4F0" w:val="clear"/>
        </w:rPr>
        <w:t>易错提醒：</w:t>
      </w:r>
    </w:p>
    <w:p>
      <w:pPr>
        <w:spacing w:line="360" w:lineRule="auto" w:after="40"/>
        <w:ind w:firstLine="420"/>
      </w:pPr>
      <w:r>
        <w:t>贸易相关的制裁规避、腐败和贿赂都属于金融犯罪风险（P22-P23），但不等同于电子商务商业模式的典型风险。本题应优先选择与</w:t>
      </w:r>
      <w:r>
        <w:rPr>
          <w:b/>
        </w:rPr>
        <w:t>电商经营和支付场景直接相关</w:t>
      </w:r>
      <w:r>
        <w:t>的项目</w:t>
      </w:r>
      <w:r>
        <w:rPr>
          <w:sz w:val="15"/>
          <w:vertAlign w:val="superscript"/>
        </w:rPr>
        <w:t>P98</w:t>
      </w:r>
      <w:r>
        <w:t>。</w:t>
      </w:r>
    </w:p>
    <w:p>
      <w:pPr>
        <w:spacing w:line="360" w:lineRule="auto" w:after="120"/>
      </w:pPr>
      <w:r/>
    </w:p>
    <w:p>
      <w:pPr>
        <w:spacing w:line="360" w:lineRule="auto" w:after="40"/>
      </w:pPr>
      <w:r>
        <w:t>4. 以下哪些场景描述了合法货币服务企业(MSB)经营者的常见洗钱风险指标？（选择三项。）</w:t>
      </w:r>
      <w:r>
        <w:br/>
      </w:r>
      <w:r>
        <w:t>Which of the following scenarios describe common risk indicators of money laundering faced by operators of legitimate money services businesses (MSBs)? (Select Three.)</w:t>
      </w:r>
    </w:p>
    <w:p>
      <w:pPr>
        <w:spacing w:line="360" w:lineRule="auto" w:after="20"/>
      </w:pPr>
      <w:r>
        <w:t>A.一位顾客将多张大面额钞票换成小面额钞票。</w:t>
      </w:r>
      <w:r>
        <w:br/>
      </w:r>
      <w:r>
        <w:t>A customer changes multiple high-denomination notes to low-denomination notes.</w:t>
      </w:r>
    </w:p>
    <w:p>
      <w:pPr>
        <w:spacing w:line="360" w:lineRule="auto" w:after="20"/>
      </w:pPr>
      <w:r>
        <w:t>B.同一天内，一名客户在同一家货币服务企业（MSB）的多个分支机构进行现金交易。</w:t>
      </w:r>
      <w:r>
        <w:br/>
      </w:r>
      <w:r>
        <w:t>A customer conducts cash transactions using multiple branches of the MSB on the same day.</w:t>
      </w:r>
    </w:p>
    <w:p>
      <w:pPr>
        <w:spacing w:line="360" w:lineRule="auto" w:after="20"/>
      </w:pPr>
      <w:r>
        <w:t>C.客户与汇款目的地存在亲属关系。</w:t>
      </w:r>
      <w:r>
        <w:br/>
      </w:r>
      <w:r>
        <w:t>A customer has a family link to the destination of a money transfer.</w:t>
      </w:r>
    </w:p>
    <w:p>
      <w:pPr>
        <w:spacing w:line="360" w:lineRule="auto" w:after="20"/>
      </w:pPr>
      <w:r>
        <w:t>D.客户在大致相同的时间以相等的金额进行汇款和收款。</w:t>
      </w:r>
      <w:r>
        <w:br/>
      </w:r>
      <w:r>
        <w:t>A customer sends and receives money transfers in equal amounts at or about the same time.</w:t>
      </w:r>
    </w:p>
    <w:p>
      <w:pPr>
        <w:spacing w:line="360" w:lineRule="auto" w:after="20"/>
      </w:pPr>
      <w:r>
        <w:t>E.一位客户只想与货币服务企业（MSB）的某位特定员工打交道。</w:t>
      </w:r>
      <w:r>
        <w:br/>
      </w:r>
      <w:r>
        <w:t>A customer wants to deal only with a particular employee of the money services business (MSB).</w:t>
      </w:r>
    </w:p>
    <w:p>
      <w:pPr>
        <w:spacing w:line="360" w:lineRule="auto" w:after="40"/>
      </w:pPr>
      <w:r>
        <w:t>答案:A、B、D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MSB洗钱风险指标：现金结构化、多分支交易、对等金额互抵</w:t>
      </w:r>
    </w:p>
    <w:p>
      <w:pPr>
        <w:spacing w:before="120" w:after="40"/>
      </w:pPr>
      <w:r>
        <w:rPr>
          <w:b/>
          <w:sz w:val="21"/>
          <w:shd w:fill="D6E4F0" w:val="clear"/>
        </w:rPr>
        <w:t>核心解析：</w:t>
      </w:r>
    </w:p>
    <w:p>
      <w:pPr>
        <w:spacing w:line="360" w:lineRule="auto" w:after="40"/>
        <w:ind w:firstLine="420"/>
      </w:pPr>
      <w:r>
        <w:t>合法MSB的核心脆弱性来自</w:t>
      </w:r>
      <w:r>
        <w:rPr>
          <w:b/>
        </w:rPr>
        <w:t>现金依赖</w:t>
      </w:r>
      <w:r>
        <w:t>与</w:t>
      </w:r>
      <w:r>
        <w:rPr>
          <w:b/>
        </w:rPr>
        <w:t>替代汇款机制</w:t>
      </w:r>
      <w:r>
        <w:t>两个维度。一方面，MSB大量服务无银行账户客户，这些客户依赖现金交易，“给MSB带来追踪和资金来源确认困难”</w:t>
      </w:r>
      <w:r>
        <w:rPr>
          <w:sz w:val="15"/>
          <w:vertAlign w:val="superscript"/>
        </w:rPr>
        <w:t>P95</w:t>
      </w:r>
      <w:r>
        <w:t>。大面额换小面额（选项A）会使现金流被拆分、增加追踪难度；在给定选项中，这与</w:t>
      </w:r>
      <w:r>
        <w:rPr>
          <w:b/>
        </w:rPr>
        <w:t>现金交易的可追踪性风险</w:t>
      </w:r>
      <w:r>
        <w:t>最直接相关，但教材并未逐字规定该行为必然用于规避报告门槛。另一方面，教材描述哈瓦拉机制时指出其“通过安排等额货币转移而非实际资金转移”</w:t>
      </w:r>
      <w:r>
        <w:rPr>
          <w:sz w:val="15"/>
          <w:vertAlign w:val="superscript"/>
        </w:rPr>
        <w:t>P133</w:t>
      </w:r>
      <w:r>
        <w:t>，选项D中客户同时以相等金额收发汇款，与这种债务互抵模式相似，在给定选项中更符合替代汇款风险。选项B利用MSB“可通过实体网点提供服务”</w:t>
      </w:r>
      <w:r>
        <w:rPr>
          <w:sz w:val="15"/>
          <w:vertAlign w:val="superscript"/>
        </w:rPr>
        <w:t>P93</w:t>
      </w:r>
      <w:r>
        <w:t>的特点，在同一天跨多个分支进行现金交易，可能分散监控和客户识别信息。这三项分别从现金、地理分散和资金对抵层面构成MSB经营者应关注的风险指标。</w:t>
      </w:r>
    </w:p>
    <w:p>
      <w:pPr>
        <w:spacing w:before="120" w:after="40"/>
      </w:pPr>
      <w:r>
        <w:rPr>
          <w:b/>
          <w:sz w:val="21"/>
          <w:shd w:fill="D6E4F0" w:val="clear"/>
        </w:rPr>
        <w:t>教材原句：</w:t>
      </w:r>
    </w:p>
    <w:p>
      <w:pPr>
        <w:spacing w:line="360" w:lineRule="auto" w:after="40"/>
        <w:ind w:firstLine="420"/>
      </w:pPr>
      <w:r>
        <w:t>"Cash transactions: Unbanked individuals rely on cash, which can create vulnerabilities for MSBs, such as difficulty in tracking a high volume of transactions and ascertaining the source of these funds."</w:t>
      </w:r>
    </w:p>
    <w:p>
      <w:pPr>
        <w:spacing w:before="120" w:after="40"/>
      </w:pPr>
      <w:r>
        <w:rPr>
          <w:b/>
          <w:sz w:val="21"/>
          <w:shd w:fill="D6E4F0" w:val="clear"/>
        </w:rPr>
        <w:t>C项错误：</w:t>
      </w:r>
    </w:p>
    <w:p>
      <w:pPr>
        <w:spacing w:line="360" w:lineRule="auto" w:after="40"/>
        <w:ind w:firstLine="420"/>
      </w:pPr>
      <w:r>
        <w:t>教材在讨论替代汇款系统（P133-P134）时提到哈瓦拉在“边缘化社区，如难民和冲突地区居民中流行”，该类人群汇款往往指向有亲属联系的地区，但这只是解释替代汇款系统的使用背景，并未将亲属关系本身列为风险指标。题干更直接匹配的是交易行为层面的异常模式（现金、多分支、等额互抵），而非汇款人与收款人之间的关系属性。</w:t>
      </w:r>
    </w:p>
    <w:p>
      <w:pPr>
        <w:spacing w:before="120" w:after="40"/>
      </w:pPr>
      <w:r>
        <w:rPr>
          <w:b/>
          <w:sz w:val="21"/>
          <w:shd w:fill="D6E4F0" w:val="clear"/>
        </w:rPr>
        <w:t>E项错误：</w:t>
      </w:r>
    </w:p>
    <w:p>
      <w:pPr>
        <w:spacing w:line="360" w:lineRule="auto" w:after="40"/>
        <w:ind w:firstLine="420"/>
      </w:pPr>
      <w:r>
        <w:t>教材未将“只想与特定员工打交道”列为MSB洗钱风险指标。即使在金融犯罪语境中，客户与特定员工的关系可能指向内部勾结风险，但教材在MSB章节（P93-P96）的风险梳理中并未涉及此项，题干对MSB经营者洗钱风险指标的考察更直接指向交易结构层面的异常而非员工互动偏好。</w:t>
      </w:r>
    </w:p>
    <w:p>
      <w:pPr>
        <w:spacing w:before="120" w:after="40"/>
      </w:pPr>
      <w:r>
        <w:rPr>
          <w:b/>
          <w:sz w:val="21"/>
          <w:shd w:fill="D6E4F0" w:val="clear"/>
        </w:rPr>
        <w:t>易错提醒：</w:t>
      </w:r>
    </w:p>
    <w:p>
      <w:pPr>
        <w:spacing w:line="360" w:lineRule="auto" w:after="40"/>
        <w:ind w:firstLine="420"/>
      </w:pPr>
      <w:r>
        <w:t>选项D中“等额同时收发”的特征容易与普通汇款混淆。关键在于区分：正常汇款是单向资金流动，而等额互抵模式（receives and sends in equal amounts at or about the same time）在教材中被描述为哈瓦拉的运作机制——双方通过债务安排以等额货币互抵而非实际跨境转移资金</w:t>
      </w:r>
      <w:r>
        <w:rPr>
          <w:sz w:val="15"/>
          <w:vertAlign w:val="superscript"/>
        </w:rPr>
        <w:t>P133</w:t>
      </w:r>
      <w:r>
        <w:t>。合法MSB经营者发现此类模式时应警觉客户可能在利用MSB系统复制替代汇款系统的清算功能。</w:t>
      </w:r>
    </w:p>
    <w:p>
      <w:pPr>
        <w:spacing w:line="360" w:lineRule="auto" w:after="120"/>
      </w:pPr>
      <w:r/>
    </w:p>
    <w:p>
      <w:pPr>
        <w:spacing w:line="360" w:lineRule="auto" w:after="40"/>
      </w:pPr>
      <w:r>
        <w:t>5. 电子商务平台固有的金融犯罪风险有哪些？（选择四项。）</w:t>
      </w:r>
      <w:r>
        <w:br/>
      </w:r>
      <w:r>
        <w:t>Which financial crime risks are inherent to e-commerce platforms? (Select four.)</w:t>
      </w:r>
    </w:p>
    <w:p>
      <w:pPr>
        <w:spacing w:line="360" w:lineRule="auto" w:after="20"/>
      </w:pPr>
      <w:r>
        <w:t>A.利用电子商务平台转移犯罪所得。</w:t>
      </w:r>
      <w:r>
        <w:br/>
      </w:r>
      <w:r>
        <w:t>E-commerce platforms exploited to move criminal proceeds.</w:t>
      </w:r>
    </w:p>
    <w:p>
      <w:pPr>
        <w:spacing w:line="360" w:lineRule="auto" w:after="20"/>
      </w:pPr>
      <w:r>
        <w:t>B.使用被盗银行卡进行网上购物。</w:t>
      </w:r>
      <w:r>
        <w:br/>
      </w:r>
      <w:r>
        <w:t>Use of stolen bank cards for online purchases.</w:t>
      </w:r>
    </w:p>
    <w:p>
      <w:pPr>
        <w:spacing w:line="360" w:lineRule="auto" w:after="20"/>
      </w:pPr>
      <w:r>
        <w:t>C.易受欺诈手段影响的电子商务平台。</w:t>
      </w:r>
      <w:r>
        <w:br/>
      </w:r>
      <w:r>
        <w:t>E-commerce platforms susceptible to fraud schemes.</w:t>
      </w:r>
    </w:p>
    <w:p>
      <w:pPr>
        <w:spacing w:line="360" w:lineRule="auto" w:after="20"/>
      </w:pPr>
      <w:r>
        <w:t>D.电子商务平台被用作非法交易的幌子。</w:t>
      </w:r>
      <w:r>
        <w:br/>
      </w:r>
      <w:r>
        <w:t>E-commerce platforms used as a front for illicit transactions.</w:t>
      </w:r>
    </w:p>
    <w:p>
      <w:pPr>
        <w:spacing w:line="360" w:lineRule="auto" w:after="20"/>
      </w:pPr>
      <w:r>
        <w:t>E.电商平台鼓励不受监管的个人对个人借贷。</w:t>
      </w:r>
      <w:r>
        <w:br/>
      </w:r>
      <w:r>
        <w:t>E-commerce platforms encouraging unregulated peer-to-peer lending.</w:t>
      </w:r>
    </w:p>
    <w:p>
      <w:pPr>
        <w:spacing w:line="360" w:lineRule="auto" w:after="20"/>
      </w:pPr>
      <w:r>
        <w:t>F.利用外币掩饰犯罪所得。</w:t>
      </w:r>
      <w:r>
        <w:br/>
      </w:r>
      <w:r>
        <w:t>Use of foreign currency to mask criminal proceeds.</w:t>
      </w:r>
    </w:p>
    <w:p>
      <w:pPr>
        <w:spacing w:line="360" w:lineRule="auto" w:after="40"/>
      </w:pPr>
      <w:r>
        <w:t>答案:A、B、C、D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w:t>
      </w:r>
      <w:r>
        <w:rPr>
          <w:b/>
        </w:rPr>
        <w:t>电子商务平台固有的金融犯罪风险类型</w:t>
      </w:r>
    </w:p>
    <w:p>
      <w:pPr>
        <w:spacing w:before="120" w:after="40"/>
      </w:pPr>
      <w:r>
        <w:rPr>
          <w:b/>
          <w:sz w:val="21"/>
          <w:shd w:fill="D6E4F0" w:val="clear"/>
        </w:rPr>
        <w:t>核心解析：</w:t>
      </w:r>
    </w:p>
    <w:p>
      <w:pPr>
        <w:spacing w:line="360" w:lineRule="auto" w:after="40"/>
        <w:ind w:firstLine="420"/>
      </w:pPr>
      <w:r>
        <w:t>教材在列举电商相关金融犯罪风险时，给出了一个清晰的框架</w:t>
      </w:r>
      <w:r>
        <w:rPr>
          <w:sz w:val="15"/>
          <w:vertAlign w:val="superscript"/>
        </w:rPr>
        <w:t>P98</w:t>
      </w:r>
      <w:r>
        <w:t>。这个列表包括：</w:t>
      </w:r>
      <w:r>
        <w:rPr>
          <w:b/>
        </w:rPr>
        <w:t>stolen credit or debit card</w:t>
      </w:r>
      <w:r>
        <w:t xml:space="preserve"> 相关购买行为——直接对应选项B；</w:t>
      </w:r>
      <w:r>
        <w:rPr>
          <w:b/>
        </w:rPr>
        <w:t>as a front for illicit transactions</w:t>
      </w:r>
      <w:r>
        <w:t>——直接对应选项D；</w:t>
      </w:r>
      <w:r>
        <w:rPr>
          <w:b/>
        </w:rPr>
        <w:t>launder illicit funds</w:t>
      </w:r>
      <w:r>
        <w:t>——与选项A“转移犯罪所得”在洗钱语境下完全对应。选项C“易受欺诈手段影响”虽未在P98列表中以相同措辞出现，但教材在P100明确敦促电商平台提高风险监测并更主动应对欺诈，说明欺诈风险是电商平台被监管机构明确指出的固有弱点，其关联性在教材框架下直接成立。由此，四个正确项均在该电商专节中有直接或紧密对应的证据。</w:t>
      </w:r>
    </w:p>
    <w:p>
      <w:pPr>
        <w:spacing w:before="120" w:after="40"/>
      </w:pPr>
      <w:r>
        <w:rPr>
          <w:b/>
          <w:sz w:val="21"/>
          <w:shd w:fill="D6E4F0" w:val="clear"/>
        </w:rPr>
        <w:t>教材原句：</w:t>
      </w:r>
    </w:p>
    <w:p>
      <w:pPr>
        <w:spacing w:line="360" w:lineRule="auto" w:after="40"/>
        <w:ind w:firstLine="420"/>
      </w:pPr>
      <w:r>
        <w:t>"Key financial crime risks associated with e-commerce include:"</w:t>
      </w:r>
    </w:p>
    <w:p>
      <w:pPr>
        <w:spacing w:before="120" w:after="40"/>
      </w:pPr>
      <w:r>
        <w:rPr>
          <w:b/>
          <w:sz w:val="21"/>
          <w:shd w:fill="D6E4F0" w:val="clear"/>
        </w:rPr>
        <w:t>E项错误：</w:t>
      </w:r>
    </w:p>
    <w:p>
      <w:pPr>
        <w:spacing w:line="360" w:lineRule="auto" w:after="40"/>
        <w:ind w:firstLine="420"/>
      </w:pPr>
      <w:r>
        <w:t>电商平台在教材中未被归入P2P借贷场景。教材将众筹平台（crowdfunding）作为独立类别讨论其匿名性和监管不足的洗钱风险</w:t>
      </w:r>
      <w:r>
        <w:rPr>
          <w:sz w:val="15"/>
          <w:vertAlign w:val="superscript"/>
        </w:rPr>
        <w:t>P105</w:t>
      </w:r>
      <w:r>
        <w:t>，其风险特征与电商存在差异。题干问的是“inherent to e-commerce”，属于电商的固有风险，而非其他数字平台的通用风险。</w:t>
      </w:r>
    </w:p>
    <w:p>
      <w:pPr>
        <w:spacing w:before="120" w:after="40"/>
      </w:pPr>
      <w:r>
        <w:rPr>
          <w:b/>
          <w:sz w:val="21"/>
          <w:shd w:fill="D6E4F0" w:val="clear"/>
        </w:rPr>
        <w:t>F项错误：</w:t>
      </w:r>
    </w:p>
    <w:p>
      <w:pPr>
        <w:spacing w:line="360" w:lineRule="auto" w:after="40"/>
        <w:ind w:firstLine="420"/>
      </w:pPr>
      <w:r>
        <w:t>利用外币（foreign currency exchange）掩饰犯罪所得是外汇市场的风险特征</w:t>
      </w:r>
      <w:r>
        <w:rPr>
          <w:sz w:val="15"/>
          <w:vertAlign w:val="superscript"/>
        </w:rPr>
        <w:t>P84</w:t>
      </w:r>
      <w:r>
        <w:t>，并非电子商务平台固有的风险。教材在风险归属上将外汇市场与电商分开讨论，两者在教材结构中分属不同章节和场景。</w:t>
      </w:r>
    </w:p>
    <w:p>
      <w:pPr>
        <w:spacing w:before="120" w:after="40"/>
      </w:pPr>
      <w:r>
        <w:rPr>
          <w:b/>
          <w:sz w:val="21"/>
          <w:shd w:fill="D6E4F0" w:val="clear"/>
        </w:rPr>
        <w:t>易错提醒：</w:t>
      </w:r>
    </w:p>
    <w:p>
      <w:pPr>
        <w:spacing w:line="360" w:lineRule="auto" w:after="40"/>
        <w:ind w:firstLine="420"/>
      </w:pPr>
      <w:r>
        <w:t>区分</w:t>
      </w:r>
      <w:r>
        <w:rPr>
          <w:b/>
        </w:rPr>
        <w:t>“众筹平台风险”</w:t>
      </w:r>
      <w:r>
        <w:t>与</w:t>
      </w:r>
      <w:r>
        <w:rPr>
          <w:b/>
        </w:rPr>
        <w:t>“电商平台风险”</w:t>
      </w:r>
      <w:r>
        <w:t>：众筹（crowdfunding）因投资属性和匿名性，风险集中在监管不足和投资者身份模糊</w:t>
      </w:r>
      <w:r>
        <w:rPr>
          <w:sz w:val="15"/>
          <w:vertAlign w:val="superscript"/>
        </w:rPr>
        <w:t>P105</w:t>
      </w:r>
      <w:r>
        <w:t>；电商（e-commerce）固有风险围绕交易欺诈、赃卡使用、清洗非法资金和作为非法交易幌子</w:t>
      </w:r>
      <w:r>
        <w:rPr>
          <w:sz w:val="15"/>
          <w:vertAlign w:val="superscript"/>
        </w:rPr>
        <w:t>P98</w:t>
      </w:r>
      <w:r>
        <w:t>。两者在教材中分属不同章节，不能因都涉及“在线交易”而混淆。</w:t>
      </w:r>
    </w:p>
    <w:p>
      <w:pPr>
        <w:spacing w:line="360" w:lineRule="auto" w:after="120"/>
      </w:pPr>
      <w:r/>
    </w:p>
    <w:p>
      <w:pPr>
        <w:spacing w:line="360" w:lineRule="auto" w:after="40"/>
      </w:pPr>
      <w:r>
        <w:t>6. 如果货币服务企业(MSB)的客户出现以下两种情况,则其带来的金融犯罪风险最大,需要加以防范:（选择两项。）</w:t>
      </w:r>
      <w:r>
        <w:br/>
      </w:r>
      <w:r>
        <w:t>Money services business (MSB) customers present the greatest financial crime risks to mitigate if they: (Select two.)</w:t>
      </w:r>
    </w:p>
    <w:p>
      <w:pPr>
        <w:spacing w:line="360" w:lineRule="auto" w:after="20"/>
      </w:pPr>
      <w:r>
        <w:t>A.处理客户下游客户的活动</w:t>
      </w:r>
      <w:r>
        <w:br/>
      </w:r>
      <w:r>
        <w:t>Process the activity of a customer's customer</w:t>
      </w:r>
    </w:p>
    <w:p>
      <w:pPr>
        <w:spacing w:line="360" w:lineRule="auto" w:after="20"/>
      </w:pPr>
      <w:r>
        <w:t>B.进行大量低价值交易</w:t>
      </w:r>
      <w:r>
        <w:br/>
      </w:r>
      <w:r>
        <w:t>Conduct a large volume of low-value transactions</w:t>
      </w:r>
    </w:p>
    <w:p>
      <w:pPr>
        <w:spacing w:line="360" w:lineRule="auto" w:after="20"/>
      </w:pPr>
      <w:r>
        <w:t>C.要求注册</w:t>
      </w:r>
      <w:r>
        <w:br/>
      </w:r>
      <w:r>
        <w:t>Require registration</w:t>
      </w:r>
    </w:p>
    <w:p>
      <w:pPr>
        <w:spacing w:line="360" w:lineRule="auto" w:after="20"/>
      </w:pPr>
      <w:r>
        <w:t>D.经常进行跨境转账</w:t>
      </w:r>
      <w:r>
        <w:br/>
      </w:r>
      <w:r>
        <w:t>Often send cross-border transfers</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 MSB 客户的</w:t>
      </w:r>
      <w:r>
        <w:rPr>
          <w:b/>
        </w:rPr>
        <w:t>嵌套客户活动</w:t>
      </w:r>
      <w:r>
        <w:t>和</w:t>
      </w:r>
      <w:r>
        <w:rPr>
          <w:b/>
        </w:rPr>
        <w:t>跨境汇款风险</w:t>
      </w:r>
      <w:r>
        <w:t>。</w:t>
      </w:r>
    </w:p>
    <w:p>
      <w:pPr>
        <w:spacing w:before="120" w:after="40"/>
      </w:pPr>
      <w:r>
        <w:rPr>
          <w:b/>
          <w:sz w:val="21"/>
          <w:shd w:fill="D6E4F0" w:val="clear"/>
        </w:rPr>
        <w:t>核心解析：</w:t>
      </w:r>
    </w:p>
    <w:p>
      <w:pPr>
        <w:spacing w:line="360" w:lineRule="auto" w:after="40"/>
        <w:ind w:firstLine="420"/>
      </w:pPr>
      <w:r>
        <w:t>A项所说的“处理客户下游客户的活动”，是指</w:t>
      </w:r>
      <w:r>
        <w:rPr>
          <w:b/>
        </w:rPr>
        <w:t>嵌套或多层客户关系</w:t>
      </w:r>
      <w:r>
        <w:t>，增加了</w:t>
      </w:r>
      <w:r>
        <w:rPr>
          <w:b/>
        </w:rPr>
        <w:t>实际资金发送方、接收方和受益所有人</w:t>
      </w:r>
      <w:r>
        <w:t>的识别难度；D频繁跨境转账则涉及</w:t>
      </w:r>
      <w:r>
        <w:rPr>
          <w:b/>
        </w:rPr>
        <w:t>大规模跨境汇款</w:t>
      </w:r>
      <w:r>
        <w:t>和不同司法管辖区的监管差异</w:t>
      </w:r>
      <w:r>
        <w:rPr>
          <w:sz w:val="15"/>
          <w:vertAlign w:val="superscript"/>
        </w:rPr>
        <w:t>P95</w:t>
      </w:r>
      <w:r>
        <w:t>。B虽然大量低价值交易也可能需要监控，但在本题的“最大风险”比较中，不如嵌套客户和跨境活动直接。</w:t>
      </w:r>
    </w:p>
    <w:p>
      <w:pPr>
        <w:spacing w:before="120" w:after="40"/>
      </w:pPr>
      <w:r>
        <w:rPr>
          <w:b/>
          <w:sz w:val="21"/>
          <w:shd w:fill="D6E4F0" w:val="clear"/>
        </w:rPr>
        <w:t>B项错误：</w:t>
      </w:r>
    </w:p>
    <w:p>
      <w:pPr>
        <w:spacing w:line="360" w:lineRule="auto" w:after="40"/>
        <w:ind w:firstLine="420"/>
      </w:pPr>
      <w:r>
        <w:t>大量低价值交易可能构成结构化或现金追踪风险，但题目考查的是更高层级的客户结构和跨境暴露。</w:t>
      </w:r>
    </w:p>
    <w:p>
      <w:pPr>
        <w:spacing w:before="120" w:after="40"/>
      </w:pPr>
      <w:r>
        <w:rPr>
          <w:b/>
          <w:sz w:val="21"/>
          <w:shd w:fill="D6E4F0" w:val="clear"/>
        </w:rPr>
        <w:t>C项错误：</w:t>
      </w:r>
    </w:p>
    <w:p>
      <w:pPr>
        <w:spacing w:line="360" w:lineRule="auto" w:after="40"/>
        <w:ind w:firstLine="420"/>
      </w:pPr>
      <w:r>
        <w:t>要求注册是合规要求，不是客户带来的金融犯罪风险。</w:t>
      </w:r>
    </w:p>
    <w:p>
      <w:pPr>
        <w:spacing w:before="120" w:after="40"/>
      </w:pPr>
      <w:r>
        <w:rPr>
          <w:b/>
          <w:sz w:val="21"/>
          <w:shd w:fill="D6E4F0" w:val="clear"/>
        </w:rPr>
        <w:t>易错提醒：</w:t>
      </w:r>
    </w:p>
    <w:p>
      <w:pPr>
        <w:spacing w:line="360" w:lineRule="auto" w:after="40"/>
        <w:ind w:firstLine="420"/>
      </w:pPr>
      <w:r>
        <w:t>A项的“客户的客户”指客户的下游客户或嵌套客户，应结合上下游关系理解其识别和追踪难度</w:t>
      </w:r>
      <w:r>
        <w:rPr>
          <w:sz w:val="15"/>
          <w:vertAlign w:val="superscript"/>
        </w:rPr>
        <w:t>P95</w:t>
      </w:r>
      <w: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