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CH03 (中英对照)</w:t>
      </w:r>
    </w:p>
    <w:p>
      <w:pPr>
        <w:spacing w:line="360" w:lineRule="auto" w:after="160"/>
      </w:pPr>
      <w:r>
        <w:t>一、单项选择题</w:t>
      </w:r>
    </w:p>
    <w:p>
      <w:pPr>
        <w:spacing w:line="360" w:lineRule="auto" w:after="40"/>
      </w:pPr>
      <w:r>
        <w:t>1. 哪种支付类型带来的金融犯罪风险最高？</w:t>
      </w:r>
      <w:r>
        <w:br/>
      </w:r>
      <w:r>
        <w:t>Which payment type presents the highest financial crime risk?</w:t>
      </w:r>
    </w:p>
    <w:p>
      <w:pPr>
        <w:spacing w:line="360" w:lineRule="auto" w:after="20"/>
      </w:pPr>
      <w:r>
        <w:t>A.一张用于退还因错误多付的抵押贷款的支票</w:t>
      </w:r>
      <w:r>
        <w:br/>
      </w:r>
      <w:r>
        <w:t>A check returning a mortgage overpayment made in error</w:t>
      </w:r>
    </w:p>
    <w:p>
      <w:pPr>
        <w:spacing w:line="360" w:lineRule="auto" w:after="20"/>
      </w:pPr>
      <w:r>
        <w:t>B.支付给混币平台的款项</w:t>
      </w:r>
      <w:r>
        <w:br/>
      </w:r>
      <w:r>
        <w:t>A payment made to a mixer platform</w:t>
      </w:r>
    </w:p>
    <w:p>
      <w:pPr>
        <w:spacing w:line="360" w:lineRule="auto" w:after="20"/>
      </w:pPr>
      <w:r>
        <w:t>C.向高息储蓄账户定期执行的自动转账指令</w:t>
      </w:r>
      <w:r>
        <w:br/>
      </w:r>
      <w:r>
        <w:t>A regular standing order to a high-interest savings account</w:t>
      </w:r>
    </w:p>
    <w:p>
      <w:pPr>
        <w:spacing w:line="360" w:lineRule="auto" w:after="20"/>
      </w:pPr>
      <w:r>
        <w:t>D.向朋友支付分摊的晚餐费用</w:t>
      </w:r>
      <w:r>
        <w:br/>
      </w:r>
      <w:r>
        <w:t>A bill payment made to a friend after splitting a dinner bill</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识别混币平台支付为极高风险金融犯罪场景</w:t>
      </w:r>
    </w:p>
    <w:p>
      <w:pPr>
        <w:spacing w:before="120" w:after="40"/>
      </w:pPr>
      <w:r>
        <w:rPr>
          <w:b/>
          <w:sz w:val="21"/>
          <w:shd w:fill="D6E4F0" w:val="clear"/>
        </w:rPr>
        <w:t>核心解析：</w:t>
      </w:r>
    </w:p>
    <w:p>
      <w:pPr>
        <w:spacing w:line="360" w:lineRule="auto" w:after="40"/>
        <w:ind w:firstLine="420"/>
      </w:pPr>
      <w:r>
        <w:t>混币平台（mixer）通过混淆技术混合不同实体的资金，使资金从新地址返还、</w:t>
      </w:r>
      <w:r>
        <w:rPr>
          <w:b/>
        </w:rPr>
        <w:t>难以追溯原始来源</w:t>
      </w:r>
      <w:r>
        <w:rPr>
          <w:sz w:val="15"/>
          <w:vertAlign w:val="superscript"/>
        </w:rPr>
        <w:t>P114</w:t>
      </w:r>
      <w:r>
        <w:t>。犯罪分子和被制裁实体广泛利用混币器清洗非法资金，虚拟资产服务提供商应将与混币器相关的交易视为高风险并采取适当尽职调查措施</w:t>
      </w:r>
      <w:r>
        <w:rPr>
          <w:sz w:val="15"/>
          <w:vertAlign w:val="superscript"/>
        </w:rPr>
        <w:t>P115</w:t>
      </w:r>
      <w:r>
        <w:t>。因此，支付给混币平台的款项直接关联</w:t>
      </w:r>
      <w:r>
        <w:rPr>
          <w:b/>
        </w:rPr>
        <w:t>高风险洗钱手法</w:t>
      </w:r>
      <w:r>
        <w:t>，其金融犯罪风险显著高于其他选项。选项A的支票退款属于一次性错误纠正；选项C的定期自动转账指令更符合低风险客户画像</w:t>
      </w:r>
      <w:r>
        <w:rPr>
          <w:sz w:val="15"/>
          <w:vertAlign w:val="superscript"/>
        </w:rPr>
        <w:t>P270</w:t>
      </w:r>
      <w:r>
        <w:t>；选项D是小额日常支付，题干没有给出其他异常要素。相比之下，B直接涉及以混淆资金踪迹为功能的服务，风险程度最高。</w:t>
      </w:r>
    </w:p>
    <w:p>
      <w:pPr>
        <w:spacing w:before="120" w:after="40"/>
      </w:pPr>
      <w:r>
        <w:rPr>
          <w:b/>
          <w:sz w:val="21"/>
          <w:shd w:fill="D6E4F0" w:val="clear"/>
        </w:rPr>
        <w:t>A项错误：</w:t>
      </w:r>
    </w:p>
    <w:p>
      <w:pPr>
        <w:spacing w:line="360" w:lineRule="auto" w:after="40"/>
        <w:ind w:firstLine="420"/>
      </w:pPr>
      <w:r>
        <w:t>退还错误多付抵押贷款的支票是一次性的纠错行为，教材中的NatWest案例显示支票存款可能因系统误标导致监控失效</w:t>
      </w:r>
      <w:r>
        <w:rPr>
          <w:sz w:val="15"/>
          <w:vertAlign w:val="superscript"/>
        </w:rPr>
        <w:t>P326</w:t>
      </w:r>
      <w:r>
        <w:t>，但该场景强调的是银行监控系统的漏洞，而非这种支付类型本身具有像混币平台那样的固有洗钱高风险。题干在比较支付类型带来的金融犯罪风险高低，更直接指向对手方的风险属性，而不如B那样直接匹配教材对混币器的高风险警示。</w:t>
      </w:r>
    </w:p>
    <w:p>
      <w:pPr>
        <w:spacing w:before="120" w:after="40"/>
      </w:pPr>
      <w:r>
        <w:rPr>
          <w:b/>
          <w:sz w:val="21"/>
          <w:shd w:fill="D6E4F0" w:val="clear"/>
        </w:rPr>
        <w:t>C项错误：</w:t>
      </w:r>
    </w:p>
    <w:p>
      <w:pPr>
        <w:spacing w:line="360" w:lineRule="auto" w:after="40"/>
        <w:ind w:firstLine="420"/>
      </w:pPr>
      <w:r>
        <w:t>教材在客户风险评估示例中，将有固定工作和薪水、资金来源可核实的个人开设储蓄账户视为低风险</w:t>
      </w:r>
      <w:r>
        <w:rPr>
          <w:sz w:val="15"/>
          <w:vertAlign w:val="superscript"/>
        </w:rPr>
        <w:t>P270</w:t>
      </w:r>
      <w:r>
        <w:t>，向高息储蓄账户定期执行的自动转账指令更符合低风险客户画像。虽然任何支付都可能被滥用，但与混币平台这类专门用于模糊资金踪迹的服务相比，该常规储蓄活动的固有金融犯罪风险明显较低。</w:t>
      </w:r>
    </w:p>
    <w:p>
      <w:pPr>
        <w:spacing w:before="120" w:after="40"/>
      </w:pPr>
      <w:r>
        <w:rPr>
          <w:b/>
          <w:sz w:val="21"/>
          <w:shd w:fill="D6E4F0" w:val="clear"/>
        </w:rPr>
        <w:t>D项错误：</w:t>
      </w:r>
    </w:p>
    <w:p>
      <w:pPr>
        <w:spacing w:line="360" w:lineRule="auto" w:after="40"/>
        <w:ind w:firstLine="420"/>
      </w:pPr>
      <w:r>
        <w:t>与朋友分摊晚餐费用属于小额、熟人间的日常支付，题干也没有给出金额异常、频率异常或可疑对手方等风险要素。相比直接支付给用于混淆资金踪迹的混币平台，该场景不能体现最高的金融犯罪风险。</w:t>
      </w:r>
    </w:p>
    <w:p>
      <w:pPr>
        <w:spacing w:before="120" w:after="40"/>
      </w:pPr>
      <w:r>
        <w:rPr>
          <w:b/>
          <w:sz w:val="21"/>
          <w:shd w:fill="D6E4F0" w:val="clear"/>
        </w:rPr>
        <w:t>易错提醒：</w:t>
      </w:r>
    </w:p>
    <w:p>
      <w:pPr>
        <w:spacing w:line="360" w:lineRule="auto" w:after="40"/>
        <w:ind w:firstLine="420"/>
      </w:pPr>
      <w:r>
        <w:t>容易将银行支票处理的系统漏洞（如误标支票导致监控规则失效）P326与支付对手方的固有洗钱风险混淆。前者是机构内部监控缺陷，并非该支付类型本身的高风险属性；而混币平台因其匿名化和资金混淆功能，被教材明确列为犯罪分子广泛使用的高风险服务</w:t>
      </w:r>
      <w:r>
        <w:rPr>
          <w:sz w:val="15"/>
          <w:vertAlign w:val="superscript"/>
        </w:rPr>
        <w:t>P115</w:t>
      </w:r>
      <w:r>
        <w:t>，这种风险来自支付目的地本身。判断时应聚焦支付对手方的洗钱风险水平，而非支付工具的技术处理问题。</w:t>
      </w:r>
    </w:p>
    <w:p>
      <w:pPr>
        <w:spacing w:line="360" w:lineRule="auto" w:after="120"/>
      </w:pPr>
      <w:r/>
    </w:p>
    <w:p>
      <w:pPr>
        <w:spacing w:line="360" w:lineRule="auto" w:after="40"/>
      </w:pPr>
      <w:r>
        <w:t>2. 以下哪项陈述最能描述与虚拟资产服务提供商（VASP）、加密资产及相关产品相关的关键洗钱风险？</w:t>
      </w:r>
      <w:r>
        <w:br/>
      </w:r>
      <w:r>
        <w:t>Which statement best describes a key money laundering risk associated with virtual asset service providers (VASPs), cryptoassets, and related products?</w:t>
      </w:r>
    </w:p>
    <w:p>
      <w:pPr>
        <w:spacing w:line="360" w:lineRule="auto" w:after="20"/>
      </w:pPr>
      <w:r>
        <w:t>A.加密资产能够迅速跨境转移，但其价值的波动性仍使其在洗钱方面不如传统资产有吸引力</w:t>
      </w:r>
      <w:r>
        <w:br/>
      </w:r>
      <w:r>
        <w:t>Cryptoassets can be transferred across borders quickly, but the volatility of their value still makes them less attractive for money laundering compared to traditional assets</w:t>
      </w:r>
    </w:p>
    <w:p>
      <w:pPr>
        <w:spacing w:line="360" w:lineRule="auto" w:after="20"/>
      </w:pPr>
      <w:r>
        <w:t>B.对某些类型的加密货币交易已实施强制报告要求，但监管和执法方面的漏洞仍为洗钱活动留下了空间</w:t>
      </w:r>
      <w:r>
        <w:br/>
      </w:r>
      <w:r>
        <w:t>Mandatory reporting requirements have been implemented for certain types of crypto transactions, but gaps in regulation and enforcement still leave room for money laundering activities</w:t>
      </w:r>
    </w:p>
    <w:p>
      <w:pPr>
        <w:spacing w:line="360" w:lineRule="auto" w:after="20"/>
      </w:pPr>
      <w:r>
        <w:t>C.区块链技术的透明性有助于执法部门追踪交易，但它也可能让犯罪分子通过复杂的分层技术来掩盖其金融活动</w:t>
      </w:r>
      <w:r>
        <w:br/>
      </w:r>
      <w:r>
        <w:t>The transparency of blockchain technology helps law enforcement trace transactions, but it can also provide criminals with ways to obscure their financial activities through complex layering techniques</w:t>
      </w:r>
    </w:p>
    <w:p>
      <w:pPr>
        <w:spacing w:line="360" w:lineRule="auto" w:after="20"/>
      </w:pPr>
      <w:r>
        <w:t>D.交易的匿名性使犯罪分子能够在全球范围内转移大笔资金的同时隐藏身份，这使得追踪最终受益所有人变得十分困难</w:t>
      </w:r>
      <w:r>
        <w:br/>
      </w:r>
      <w:r>
        <w:t>The pseudonymous nature of transactions allows criminals to hide their identities while transferring large sums of money globally, making it difficult to trace the ultimate beneficial owner</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识别加密资产假名性带来的身份与所有权核验风险</w:t>
      </w:r>
    </w:p>
    <w:p>
      <w:pPr>
        <w:spacing w:before="120" w:after="40"/>
      </w:pPr>
      <w:r>
        <w:rPr>
          <w:b/>
          <w:sz w:val="21"/>
          <w:shd w:fill="D6E4F0" w:val="clear"/>
        </w:rPr>
        <w:t>核心解析：</w:t>
      </w:r>
    </w:p>
    <w:p>
      <w:pPr>
        <w:spacing w:line="360" w:lineRule="auto" w:after="40"/>
        <w:ind w:firstLine="420"/>
      </w:pPr>
      <w:r>
        <w:t>稳定币、代币和NFT等数字资产因</w:t>
      </w:r>
      <w:r>
        <w:rPr>
          <w:b/>
        </w:rPr>
        <w:t>假名性、跨境可达性和监管监督不足</w:t>
      </w:r>
      <w:r>
        <w:t>，为洗钱和恐怖融资创造了新机会</w:t>
      </w:r>
      <w:r>
        <w:rPr>
          <w:sz w:val="15"/>
          <w:vertAlign w:val="superscript"/>
        </w:rPr>
        <w:t>P112</w:t>
      </w:r>
      <w:r>
        <w:t>。假名交易并不表示区块链上没有交易记录，而是链上地址未必直接揭示背后的真实身份；许多数字资产交易因此增加了所有权和身份验证的难度</w:t>
      </w:r>
      <w:r>
        <w:rPr>
          <w:sz w:val="15"/>
          <w:vertAlign w:val="superscript"/>
        </w:rPr>
        <w:t>P435</w:t>
      </w:r>
      <w:r>
        <w:t>。即使区块链具有透明性，追踪实际所有权仍可能具有挑战性</w:t>
      </w:r>
      <w:r>
        <w:rPr>
          <w:sz w:val="15"/>
          <w:vertAlign w:val="superscript"/>
        </w:rPr>
        <w:t>P111</w:t>
      </w:r>
      <w:r>
        <w:t>。D所述身份隐藏、全球转移以及实际所有人难以追踪，最直接对应这些风险。判断重点是</w:t>
      </w:r>
      <w:r>
        <w:rPr>
          <w:b/>
        </w:rPr>
        <w:t>身份和所有权核验困难</w:t>
      </w:r>
      <w:r>
        <w:t>，而不是交易金额必须达到某个标准。</w:t>
      </w:r>
    </w:p>
    <w:p>
      <w:pPr>
        <w:spacing w:before="120" w:after="40"/>
      </w:pPr>
      <w:r>
        <w:rPr>
          <w:b/>
          <w:sz w:val="21"/>
          <w:shd w:fill="D6E4F0" w:val="clear"/>
        </w:rPr>
        <w:t>教材原句：</w:t>
      </w:r>
    </w:p>
    <w:p>
      <w:pPr>
        <w:spacing w:line="360" w:lineRule="auto" w:after="40"/>
        <w:ind w:firstLine="420"/>
      </w:pPr>
      <w:r>
        <w:t>"they create new opportunities for money laundering and terrorist financing due to their pseudonymity, cross-border reach, and lack of regulatory oversight."</w:t>
      </w:r>
    </w:p>
    <w:p>
      <w:pPr>
        <w:spacing w:before="120" w:after="40"/>
      </w:pPr>
      <w:r>
        <w:rPr>
          <w:b/>
          <w:sz w:val="21"/>
          <w:shd w:fill="D6E4F0" w:val="clear"/>
        </w:rPr>
        <w:t>A项错误：</w:t>
      </w:r>
    </w:p>
    <w:p>
      <w:pPr>
        <w:spacing w:line="360" w:lineRule="auto" w:after="40"/>
        <w:ind w:firstLine="420"/>
      </w:pPr>
      <w:r>
        <w:t>价格波动本身不能推出加密资产对洗钱者的吸引力较低。教材指出，代币和NFT虽然高度波动，但其掩盖交易轨迹的能力仍使其呈现更高的洗钱风险</w:t>
      </w:r>
      <w:r>
        <w:rPr>
          <w:sz w:val="15"/>
          <w:vertAlign w:val="superscript"/>
        </w:rPr>
        <w:t>P113</w:t>
      </w:r>
      <w:r>
        <w:t>。因此，A项用波动性推出“不如传统资产有吸引力”，与教材给出的风险判断不符。</w:t>
      </w:r>
    </w:p>
    <w:p>
      <w:pPr>
        <w:spacing w:before="120" w:after="40"/>
      </w:pPr>
      <w:r>
        <w:rPr>
          <w:b/>
          <w:sz w:val="21"/>
          <w:shd w:fill="D6E4F0" w:val="clear"/>
        </w:rPr>
        <w:t>B项错误：</w:t>
      </w:r>
    </w:p>
    <w:p>
      <w:pPr>
        <w:spacing w:line="360" w:lineRule="auto" w:after="40"/>
        <w:ind w:firstLine="420"/>
      </w:pPr>
      <w:r>
        <w:t>监管监督不足确实是数字资产的风险因素之一，所以B并非完全无关。但“某些类型交易已实施强制报告要求”取决于具体司法管辖区和交易类型，题干没有限定相关制度背景；D所述假名性、跨境可达性及所有权核验困难更具普遍性。</w:t>
      </w:r>
    </w:p>
    <w:p>
      <w:pPr>
        <w:spacing w:before="120" w:after="40"/>
      </w:pPr>
      <w:r>
        <w:rPr>
          <w:b/>
          <w:sz w:val="21"/>
          <w:shd w:fill="D6E4F0" w:val="clear"/>
        </w:rPr>
        <w:t>C项错误：</w:t>
      </w:r>
    </w:p>
    <w:p>
      <w:pPr>
        <w:spacing w:line="360" w:lineRule="auto" w:after="40"/>
        <w:ind w:firstLine="420"/>
      </w:pPr>
      <w:r>
        <w:t>区块链具有透明性，但透明性并不自动解决所有权追踪困难</w:t>
      </w:r>
      <w:r>
        <w:rPr>
          <w:sz w:val="15"/>
          <w:vertAlign w:val="superscript"/>
        </w:rPr>
        <w:t>P111</w:t>
      </w:r>
      <w:r>
        <w:t>。C却把区块链透明性本身与犯罪分子采用复杂分层手段连接起来，两者不存在这样的直接因果关系。D所述假名性和身份、所有权核验困难与关键风险更直接对应。</w:t>
      </w:r>
    </w:p>
    <w:p>
      <w:pPr>
        <w:spacing w:before="120" w:after="40"/>
      </w:pPr>
      <w:r>
        <w:rPr>
          <w:b/>
          <w:sz w:val="21"/>
          <w:shd w:fill="D6E4F0" w:val="clear"/>
        </w:rPr>
        <w:t>易错提醒：</w:t>
      </w:r>
    </w:p>
    <w:p>
      <w:pPr>
        <w:spacing w:line="360" w:lineRule="auto" w:after="40"/>
        <w:ind w:firstLine="420"/>
      </w:pPr>
      <w:r>
        <w:t>假名性（pseudonymity）不等于所有交易都完全匿名。区块链可以保留可观察的交易轨迹，但地址背后的身份和所有权仍可能难以核验</w:t>
      </w:r>
      <w:r>
        <w:rPr>
          <w:sz w:val="15"/>
          <w:vertAlign w:val="superscript"/>
        </w:rPr>
        <w:t>P111、P435</w:t>
      </w:r>
      <w:r>
        <w:t>；隐私币利用非公开区块链进行匿名转账，则属于教材另行说明的更强匿名场景</w:t>
      </w:r>
      <w:r>
        <w:rPr>
          <w:sz w:val="15"/>
          <w:vertAlign w:val="superscript"/>
        </w:rPr>
        <w:t>P111</w:t>
      </w:r>
      <w:r>
        <w:t>。做题时应区分“能看到地址之间的交易”和“能确认地址实际控制人”。</w:t>
      </w:r>
    </w:p>
    <w:p>
      <w:pPr>
        <w:spacing w:line="360" w:lineRule="auto" w:after="120"/>
      </w:pPr>
      <w:r/>
    </w:p>
    <w:p>
      <w:pPr>
        <w:spacing w:line="360" w:lineRule="auto" w:after="40"/>
      </w:pPr>
      <w:r>
        <w:t>3. 已对现有虚拟资产服务提供商(VASP)客户完成定期审查.以下哪些是潜在洗钱活动的迹象？（选择三项。）</w:t>
      </w:r>
      <w:r>
        <w:br/>
      </w:r>
      <w:r>
        <w:t>A periodic review has been completed for an existing virtual asset service provider (VASP) customer. Which of the following are indicators of potential money laundering? (Select three.)</w:t>
      </w:r>
    </w:p>
    <w:p>
      <w:pPr>
        <w:spacing w:line="360" w:lineRule="auto" w:after="20"/>
      </w:pPr>
      <w:r>
        <w:t>A.利用空壳公司向虚拟资产服务提供商(VASP)存入和提取资金</w:t>
      </w:r>
      <w:r>
        <w:br/>
      </w:r>
      <w:r>
        <w:t>Use of shell companies for deposits and withdrawals into the VASP.</w:t>
      </w:r>
    </w:p>
    <w:p>
      <w:pPr>
        <w:spacing w:line="360" w:lineRule="auto" w:after="20"/>
      </w:pPr>
      <w:r>
        <w:t>B.利用对等网络来降低与服务器维护和数据存储相关的成本</w:t>
      </w:r>
      <w:r>
        <w:br/>
      </w:r>
      <w:r>
        <w:t>Using a peer-to-peer network to reduce costs associated with server maintenance and data storage.</w:t>
      </w:r>
    </w:p>
    <w:p>
      <w:pPr>
        <w:spacing w:line="360" w:lineRule="auto" w:after="20"/>
      </w:pPr>
      <w:r>
        <w:t>C.市场的快速波动导致标的资产价值迅速变化</w:t>
      </w:r>
      <w:r>
        <w:br/>
      </w:r>
      <w:r>
        <w:t>Rapid market fluctuations resulting in quick changes in the value of underlying assets.</w:t>
      </w:r>
    </w:p>
    <w:p>
      <w:pPr>
        <w:spacing w:line="360" w:lineRule="auto" w:after="20"/>
      </w:pPr>
      <w:r>
        <w:t>D.频繁使用混币器和翻滚器持有资产并进行交易</w:t>
      </w:r>
      <w:r>
        <w:br/>
      </w:r>
      <w:r>
        <w:t>Frequent use of mixers and tumblers for holdings and transactions.</w:t>
      </w:r>
    </w:p>
    <w:p>
      <w:pPr>
        <w:spacing w:line="360" w:lineRule="auto" w:after="20"/>
      </w:pPr>
      <w:r>
        <w:t>E.接受来自以反洗钱法规和框架薄弱著称的国家的资金</w:t>
      </w:r>
      <w:r>
        <w:br/>
      </w:r>
      <w:r>
        <w:t>Receiving funds from countries known for weak money laundering regulations and frameworks.</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识别VASP客户交易中的洗钱红旗信号</w:t>
      </w:r>
    </w:p>
    <w:p>
      <w:pPr>
        <w:spacing w:before="120" w:after="40"/>
      </w:pPr>
      <w:r>
        <w:rPr>
          <w:b/>
          <w:sz w:val="21"/>
          <w:shd w:fill="D6E4F0" w:val="clear"/>
        </w:rPr>
        <w:t>核心解析：</w:t>
      </w:r>
    </w:p>
    <w:p>
      <w:pPr>
        <w:spacing w:line="360" w:lineRule="auto" w:after="40"/>
        <w:ind w:firstLine="420"/>
      </w:pPr>
      <w:r>
        <w:t>题干要求识别VASP客户定期审查中出现的潜在洗钱迹象。选项D有最直接的教材依据：</w:t>
      </w:r>
      <w:r>
        <w:rPr>
          <w:b/>
        </w:rPr>
        <w:t>混币器和翻滚器被用于隐藏加密资产资金来源、阻断交易追踪</w:t>
      </w:r>
      <w:r>
        <w:t>，并被犯罪分子用于清洗非法资金（P114-P115）。选项A属于原则应用：教材指出壳公司和现成公司的复杂结构可被用于洗钱，且将潜在壳公司列为金融犯罪风险</w:t>
      </w:r>
      <w:r>
        <w:rPr>
          <w:sz w:val="15"/>
          <w:vertAlign w:val="superscript"/>
        </w:rPr>
        <w:t>P57、P99</w:t>
      </w:r>
      <w:r>
        <w:t>；在VASP存取款中使用壳公司，会增加真实交易主体和资金来源的识别难度。选项E也属于风险原则应用：教材将反复向监管执行薄弱司法管辖区的法定货币交易所转账列为加密资产红旗，并指出来自反洗钱制度薄弱或腐败严重司法管辖区的客户风险更高</w:t>
      </w:r>
      <w:r>
        <w:rPr>
          <w:sz w:val="15"/>
          <w:vertAlign w:val="superscript"/>
        </w:rPr>
        <w:t>P112、P73</w:t>
      </w:r>
      <w:r>
        <w:t>。虽然教材示例的资金方向与选项不完全相同，但两者共同指向监管薄弱司法管辖区带来的较高地理风险。因此A、D、E均是需要进一步调查的潜在洗钱迹象；红旗本身不等于已经证明洗钱。</w:t>
      </w:r>
    </w:p>
    <w:p>
      <w:pPr>
        <w:spacing w:before="120" w:after="40"/>
      </w:pPr>
      <w:r>
        <w:rPr>
          <w:b/>
          <w:sz w:val="21"/>
          <w:shd w:fill="D6E4F0" w:val="clear"/>
        </w:rPr>
        <w:t>B项错误：</w:t>
      </w:r>
    </w:p>
    <w:p>
      <w:pPr>
        <w:spacing w:line="360" w:lineRule="auto" w:after="40"/>
        <w:ind w:firstLine="420"/>
      </w:pPr>
      <w:r>
        <w:t>该选项明确把使用对等网络的目的限定为降低服务器维护和数据存储成本，没有出现隐藏身份、掩盖资金来源、异常资金流或高风险司法管辖区等可疑要素。仅凭采用对等网络，不能推断存在洗钱活动。</w:t>
      </w:r>
    </w:p>
    <w:p>
      <w:pPr>
        <w:spacing w:before="120" w:after="40"/>
      </w:pPr>
      <w:r>
        <w:rPr>
          <w:b/>
          <w:sz w:val="21"/>
          <w:shd w:fill="D6E4F0" w:val="clear"/>
        </w:rPr>
        <w:t>C项错误：</w:t>
      </w:r>
    </w:p>
    <w:p>
      <w:pPr>
        <w:spacing w:line="360" w:lineRule="auto" w:after="40"/>
        <w:ind w:firstLine="420"/>
      </w:pPr>
      <w:r>
        <w:t>市场快速波动导致资产价值变化，教材将其归为市场风险，是所有加密资产投资者面临的正常市场特征</w:t>
      </w:r>
      <w:r>
        <w:rPr>
          <w:sz w:val="15"/>
          <w:vertAlign w:val="superscript"/>
        </w:rPr>
        <w:t>P243</w:t>
      </w:r>
      <w:r>
        <w:t>，而非洗钱迹象。相比之下，A、D、E描述的是客户主动选择的可疑行为模式，更吻合教材对洗钱红旗信号的定义。</w:t>
      </w:r>
    </w:p>
    <w:p>
      <w:pPr>
        <w:spacing w:before="120" w:after="40"/>
      </w:pPr>
      <w:r>
        <w:rPr>
          <w:b/>
          <w:sz w:val="21"/>
          <w:shd w:fill="D6E4F0" w:val="clear"/>
        </w:rPr>
        <w:t>易错提醒：</w:t>
      </w:r>
    </w:p>
    <w:p>
      <w:pPr>
        <w:spacing w:line="360" w:lineRule="auto" w:after="40"/>
        <w:ind w:firstLine="420"/>
      </w:pPr>
      <w:r>
        <w:t>区分“市场风险”与“洗钱红旗信号”：市场波动造成的是资产价格风险</w:t>
      </w:r>
      <w:r>
        <w:rPr>
          <w:sz w:val="15"/>
          <w:vertAlign w:val="superscript"/>
        </w:rPr>
        <w:t>P243</w:t>
      </w:r>
      <w:r>
        <w:t>；混币器、壳公司及监管薄弱司法管辖区往来则可能妨碍交易主体或资金来源识别（P57、P99、P112、P114-P115）。红旗只能触发进一步审查，不能单独证明客户具有规避审查的主观意图或已经实施洗钱。</w:t>
      </w:r>
    </w:p>
    <w:p>
      <w:pPr>
        <w:spacing w:line="360" w:lineRule="auto" w:after="120"/>
      </w:pPr>
      <w:r/>
    </w:p>
    <w:p>
      <w:pPr>
        <w:spacing w:line="360" w:lineRule="auto" w:after="40"/>
      </w:pPr>
      <w:r>
        <w:t>4. 与加密资产相关的ML/TF风险有哪些？（选择三项。）</w:t>
      </w:r>
      <w:r>
        <w:br/>
      </w:r>
      <w:r>
        <w:t>Which ML/TF risks are associated with cryptoassets? (Select three.)</w:t>
      </w:r>
    </w:p>
    <w:p>
      <w:pPr>
        <w:spacing w:line="360" w:lineRule="auto" w:after="20"/>
      </w:pPr>
      <w:r>
        <w:t>A.贬值</w:t>
      </w:r>
      <w:r>
        <w:br/>
      </w:r>
      <w:r>
        <w:t>Devaluation</w:t>
      </w:r>
    </w:p>
    <w:p>
      <w:pPr>
        <w:spacing w:line="360" w:lineRule="auto" w:after="20"/>
      </w:pPr>
      <w:r>
        <w:t>B.智能合约漏洞</w:t>
      </w:r>
      <w:r>
        <w:br/>
      </w:r>
      <w:r>
        <w:t>Smart contract vulnerabilities</w:t>
      </w:r>
    </w:p>
    <w:p>
      <w:pPr>
        <w:spacing w:line="360" w:lineRule="auto" w:after="20"/>
      </w:pPr>
      <w:r>
        <w:t>C.匿名的可能性</w:t>
      </w:r>
      <w:r>
        <w:br/>
      </w:r>
      <w:r>
        <w:t>Potential for anonymity</w:t>
      </w:r>
    </w:p>
    <w:p>
      <w:pPr>
        <w:spacing w:line="360" w:lineRule="auto" w:after="20"/>
      </w:pPr>
      <w:r>
        <w:t>D.全球覆盖范围</w:t>
      </w:r>
      <w:r>
        <w:br/>
      </w:r>
      <w:r>
        <w:t>Global reach</w:t>
      </w:r>
    </w:p>
    <w:p>
      <w:pPr>
        <w:spacing w:line="360" w:lineRule="auto" w:after="20"/>
      </w:pPr>
      <w:r>
        <w:t>E.高额交易费用</w:t>
      </w:r>
      <w:r>
        <w:br/>
      </w:r>
      <w:r>
        <w:t>High transaction fees</w:t>
      </w:r>
    </w:p>
    <w:p>
      <w:pPr>
        <w:spacing w:line="360" w:lineRule="auto" w:after="20"/>
      </w:pPr>
      <w:r>
        <w:t>F.用于分层转移并隐藏非法资金</w:t>
      </w:r>
      <w:r>
        <w:br/>
      </w:r>
      <w:r>
        <w:t>Use to layer illicit funds</w:t>
      </w:r>
    </w:p>
    <w:p>
      <w:pPr>
        <w:spacing w:line="360" w:lineRule="auto" w:after="40"/>
      </w:pPr>
      <w:r>
        <w:t>答案:C、D、F</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识别加密资产的固有洗钱/恐怖融资风险特征</w:t>
      </w:r>
    </w:p>
    <w:p>
      <w:pPr>
        <w:spacing w:before="120" w:after="40"/>
      </w:pPr>
      <w:r>
        <w:rPr>
          <w:b/>
          <w:sz w:val="21"/>
          <w:shd w:fill="D6E4F0" w:val="clear"/>
        </w:rPr>
        <w:t>核心解析：</w:t>
      </w:r>
    </w:p>
    <w:p>
      <w:pPr>
        <w:spacing w:line="360" w:lineRule="auto" w:after="40"/>
        <w:ind w:firstLine="420"/>
      </w:pPr>
      <w:r>
        <w:t>教材直接指出，稳定币、代币和NFT因</w:t>
      </w:r>
      <w:r>
        <w:rPr>
          <w:b/>
        </w:rPr>
        <w:t>假名性、跨境覆盖以及监管不足</w:t>
      </w:r>
      <w:r>
        <w:t>，为洗钱和恐怖融资创造新机会</w:t>
      </w:r>
      <w:r>
        <w:rPr>
          <w:sz w:val="15"/>
          <w:vertAlign w:val="superscript"/>
        </w:rPr>
        <w:t>P112</w:t>
      </w:r>
      <w:r>
        <w:t>。因此，选项C“匿名的可能性”对应难以把交易归属于真实所有人，选项D“全球覆盖范围”对应加密资产的跨境覆盖（P109、P111-P112）。对于选项F，</w:t>
      </w:r>
      <w:r>
        <w:rPr>
          <w:b/>
        </w:rPr>
        <w:t>混币器和翻滚器</w:t>
      </w:r>
      <w:r>
        <w:t>被广泛用于隐藏加密资产资金来源并使交易追踪几乎不可能，犯罪分子利用它们清洗非法资金、切断非法来源与目的地之间的轨迹，这正是</w:t>
      </w:r>
      <w:r>
        <w:rPr>
          <w:b/>
        </w:rPr>
        <w:t>分层转移并隐藏非法资金</w:t>
      </w:r>
      <w:r>
        <w:t>的用途（P114-P115）。因此答案为C、D、F。</w:t>
      </w:r>
    </w:p>
    <w:p>
      <w:pPr>
        <w:spacing w:before="120" w:after="40"/>
      </w:pPr>
      <w:r>
        <w:rPr>
          <w:b/>
          <w:sz w:val="21"/>
          <w:shd w:fill="D6E4F0" w:val="clear"/>
        </w:rPr>
        <w:t>教材原句：</w:t>
      </w:r>
    </w:p>
    <w:p>
      <w:pPr>
        <w:spacing w:line="360" w:lineRule="auto" w:after="40"/>
        <w:ind w:firstLine="420"/>
      </w:pPr>
      <w:r>
        <w:t>"They create new opportunities for money laundering and terrorist financing due to their pseudonymity, cross-border reach, and lack of regulatory oversight."</w:t>
      </w:r>
      <w:r>
        <w:rPr>
          <w:sz w:val="15"/>
          <w:vertAlign w:val="superscript"/>
        </w:rPr>
        <w:t>P112</w:t>
      </w:r>
    </w:p>
    <w:p>
      <w:pPr>
        <w:spacing w:before="120" w:after="40"/>
      </w:pPr>
      <w:r>
        <w:rPr>
          <w:b/>
          <w:sz w:val="21"/>
          <w:shd w:fill="D6E4F0" w:val="clear"/>
        </w:rPr>
        <w:t>A项错误：</w:t>
      </w:r>
    </w:p>
    <w:p>
      <w:pPr>
        <w:spacing w:line="360" w:lineRule="auto" w:after="40"/>
        <w:ind w:firstLine="420"/>
      </w:pPr>
      <w:r>
        <w:t>“贬值”属于投资损失或市场波动风险，并不会像假名性、跨境流通或混币服务那样帮助隐藏、转移非法资金，因此不是本题所问的ML/TF风险。</w:t>
      </w:r>
    </w:p>
    <w:p>
      <w:pPr>
        <w:spacing w:before="120" w:after="40"/>
      </w:pPr>
      <w:r>
        <w:rPr>
          <w:b/>
          <w:sz w:val="21"/>
          <w:shd w:fill="D6E4F0" w:val="clear"/>
        </w:rPr>
        <w:t>B项错误：</w:t>
      </w:r>
    </w:p>
    <w:p>
      <w:pPr>
        <w:spacing w:line="360" w:lineRule="auto" w:after="40"/>
        <w:ind w:firstLine="420"/>
      </w:pPr>
      <w:r>
        <w:t>“智能合约漏洞”属于技术或网络安全风险，可能造成代码被利用或资产损失，但它不同于加密资产被用于匿名转移、跨境流通和隐藏资金轨迹的ML/TF风险。</w:t>
      </w:r>
    </w:p>
    <w:p>
      <w:pPr>
        <w:spacing w:before="120" w:after="40"/>
      </w:pPr>
      <w:r>
        <w:rPr>
          <w:b/>
          <w:sz w:val="21"/>
          <w:shd w:fill="D6E4F0" w:val="clear"/>
        </w:rPr>
        <w:t>E项错误：</w:t>
      </w:r>
    </w:p>
    <w:p>
      <w:pPr>
        <w:spacing w:line="360" w:lineRule="auto" w:after="40"/>
        <w:ind w:firstLine="420"/>
      </w:pPr>
      <w:r>
        <w:t>高额交易费用只反映交易成本，不会因此增加隐藏资金来源、跨境转移或分层洗钱的能力，因此不是本题所问的ML/TF风险。</w:t>
      </w:r>
    </w:p>
    <w:p>
      <w:pPr>
        <w:spacing w:before="120" w:after="40"/>
      </w:pPr>
      <w:r>
        <w:rPr>
          <w:b/>
          <w:sz w:val="21"/>
          <w:shd w:fill="D6E4F0" w:val="clear"/>
        </w:rPr>
        <w:t>易错提醒：</w:t>
      </w:r>
    </w:p>
    <w:p>
      <w:pPr>
        <w:spacing w:line="360" w:lineRule="auto" w:after="40"/>
        <w:ind w:firstLine="420"/>
      </w:pPr>
      <w:r>
        <w:t>题目中的“global reach”应按教材的“cross-border reach”理解，即加密资产可跨境流通并绕开传统金融体系</w:t>
      </w:r>
      <w:r>
        <w:rPr>
          <w:sz w:val="15"/>
          <w:vertAlign w:val="superscript"/>
        </w:rPr>
        <w:t>P109、P112</w:t>
      </w:r>
      <w:r>
        <w:t>；它不是指市场影响力或价格规模。分层风险看的是隐藏来源和切断轨迹（P114-P115），不取决于交易费用高低。</w:t>
      </w:r>
    </w:p>
    <w:p>
      <w:pPr>
        <w:spacing w:line="360" w:lineRule="auto" w:after="120"/>
      </w:pPr>
      <w:r/>
    </w:p>
    <w:p>
      <w:pPr>
        <w:spacing w:line="360" w:lineRule="auto" w:after="40"/>
      </w:pPr>
      <w:r>
        <w:t>5. 在虚拟货币点对点交易中，哪些客户行为是危险信号？（选择两项。）</w:t>
      </w:r>
      <w:r>
        <w:br/>
      </w:r>
      <w:r>
        <w:t>Which customer actions are red flags for virtual currency peer-to-peer transactions? (Choose two.)</w:t>
      </w:r>
    </w:p>
    <w:p>
      <w:pPr>
        <w:spacing w:line="360" w:lineRule="auto" w:after="20"/>
      </w:pPr>
      <w:r>
        <w:t>A.一位客户从一个流行的去中心化混币器那里收到了资金</w:t>
      </w:r>
      <w:r>
        <w:br/>
      </w:r>
      <w:r>
        <w:t>A customer receives funds from a popular decentralized mixer.</w:t>
      </w:r>
    </w:p>
    <w:p>
      <w:pPr>
        <w:spacing w:line="360" w:lineRule="auto" w:after="20"/>
      </w:pPr>
      <w:r>
        <w:t>B.一位顾客用其每月收入中的资金购买虚拟货币</w:t>
      </w:r>
      <w:r>
        <w:br/>
      </w:r>
      <w:r>
        <w:t>A customer uses funds from their monthly income to purchase virtual currency.</w:t>
      </w:r>
    </w:p>
    <w:p>
      <w:pPr>
        <w:spacing w:line="360" w:lineRule="auto" w:after="20"/>
      </w:pPr>
      <w:r>
        <w:t>C.一位客户在区块链上进行了一笔交易，而其传统金融机构对此并不知情</w:t>
      </w:r>
      <w:r>
        <w:br/>
      </w:r>
      <w:r>
        <w:t>A customer makes a transaction on the blockchain that their traditional financial institution is unaware of.</w:t>
      </w:r>
    </w:p>
    <w:p>
      <w:pPr>
        <w:spacing w:line="360" w:lineRule="auto" w:after="20"/>
      </w:pPr>
      <w:r>
        <w:t>D.一位客户从不同来源收到多笔电汇，并使用这些资金购买虚拟货币</w:t>
      </w:r>
      <w:r>
        <w:br/>
      </w:r>
      <w:r>
        <w:t>A customer receives multiple wires from different sources and uses those funds to purchase virtual currency.</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识别虚拟货币点对点交易中与资金来源相关的洗钱危险信号</w:t>
      </w:r>
    </w:p>
    <w:p>
      <w:pPr>
        <w:spacing w:before="120" w:after="40"/>
      </w:pPr>
      <w:r>
        <w:rPr>
          <w:b/>
          <w:sz w:val="21"/>
          <w:shd w:fill="D6E4F0" w:val="clear"/>
        </w:rPr>
        <w:t>核心解析：</w:t>
      </w:r>
    </w:p>
    <w:p>
      <w:pPr>
        <w:spacing w:line="360" w:lineRule="auto" w:after="40"/>
        <w:ind w:firstLine="420"/>
      </w:pPr>
      <w:r>
        <w:t>在反洗钱框架下，危险信号的核心在于交易是否涉及刻意掩盖资金来源或使用来源不明的资金。选项A中，</w:t>
      </w:r>
      <w:r>
        <w:rPr>
          <w:b/>
        </w:rPr>
        <w:t>去中心化混币器</w:t>
      </w:r>
      <w:r>
        <w:t>通过混淆技术混合不同实体资金，使追踪变得极其困难甚至不可能；犯罪分子和受制裁实体也会使用此类服务清洗非法资金，因此VASP应将与混币器相关的交易视为高风险（P114-P115）。客户从混币器接收资金，构成典型的洗钱危险信号。选项D中，多笔来自不同来源的电汇随后被用于购买虚拟货币，资金来源分散且关系不明，与教材所列“</w:t>
      </w:r>
      <w:r>
        <w:rPr>
          <w:b/>
        </w:rPr>
        <w:t>来源不明或可疑资金</w:t>
      </w:r>
      <w:r>
        <w:t>”及“加密资产购买资金与已知财富或资金来源不符”等风险特征相符（P111-P112）。由此，A和D比B、C更直接地指向高风险行为。</w:t>
      </w:r>
    </w:p>
    <w:p>
      <w:pPr>
        <w:spacing w:before="120" w:after="40"/>
      </w:pPr>
      <w:r>
        <w:rPr>
          <w:b/>
          <w:sz w:val="21"/>
          <w:shd w:fill="D6E4F0" w:val="clear"/>
        </w:rPr>
        <w:t>教材原句：</w:t>
      </w:r>
    </w:p>
    <w:p>
      <w:pPr>
        <w:spacing w:line="360" w:lineRule="auto" w:after="40"/>
        <w:ind w:firstLine="420"/>
      </w:pPr>
      <w:r>
        <w:t>"virtual asset service providers should treat transactions linked to mixers and tumblers as high risk and take appropriate diligence measures to reduce potential risk."</w:t>
      </w:r>
      <w:r>
        <w:rPr>
          <w:sz w:val="15"/>
          <w:vertAlign w:val="superscript"/>
        </w:rPr>
        <w:t>P115</w:t>
      </w:r>
    </w:p>
    <w:p>
      <w:pPr>
        <w:spacing w:before="120" w:after="40"/>
      </w:pPr>
      <w:r>
        <w:rPr>
          <w:b/>
          <w:sz w:val="21"/>
          <w:shd w:fill="D6E4F0" w:val="clear"/>
        </w:rPr>
        <w:t>B项错误：</w:t>
      </w:r>
    </w:p>
    <w:p>
      <w:pPr>
        <w:spacing w:line="360" w:lineRule="auto" w:after="40"/>
        <w:ind w:firstLine="420"/>
      </w:pPr>
      <w:r>
        <w:t>题干只说明资金来自每月收入，未给出收入与已知财富明显不匹配、来源可疑或其他异常事实；仅凭“用月收入购买虚拟货币”不足以认定为红旗。</w:t>
      </w:r>
    </w:p>
    <w:p>
      <w:pPr>
        <w:spacing w:before="120" w:after="40"/>
      </w:pPr>
      <w:r>
        <w:rPr>
          <w:b/>
          <w:sz w:val="21"/>
          <w:shd w:fill="D6E4F0" w:val="clear"/>
        </w:rPr>
        <w:t>C项错误：</w:t>
      </w:r>
    </w:p>
    <w:p>
      <w:pPr>
        <w:spacing w:line="360" w:lineRule="auto" w:after="40"/>
        <w:ind w:firstLine="420"/>
      </w:pPr>
      <w:r>
        <w:t>教材说明区块链账本的去中心化特性消除了单一中心账本并支持点对点交易</w:t>
      </w:r>
      <w:r>
        <w:rPr>
          <w:sz w:val="15"/>
          <w:vertAlign w:val="superscript"/>
        </w:rPr>
        <w:t>P38</w:t>
      </w:r>
      <w:r>
        <w:t>。因此，传统金融机构不知情这一事实单独并不构成红旗；相较之下，A的混币器关联和D的可疑资金来源更直接体现风险。</w:t>
      </w:r>
    </w:p>
    <w:p>
      <w:pPr>
        <w:spacing w:before="120" w:after="40"/>
      </w:pPr>
      <w:r>
        <w:rPr>
          <w:b/>
          <w:sz w:val="21"/>
          <w:shd w:fill="D6E4F0" w:val="clear"/>
        </w:rPr>
        <w:t>易错提醒：</w:t>
      </w:r>
    </w:p>
    <w:p>
      <w:pPr>
        <w:spacing w:line="360" w:lineRule="auto" w:after="40"/>
        <w:ind w:firstLine="420"/>
      </w:pPr>
      <w:r>
        <w:t>不要将区块链的“去中心化”特性本身误认为危险信号。去中心化是技术设计，点对点交易无需中介方知情是正常现象</w:t>
      </w:r>
      <w:r>
        <w:rPr>
          <w:sz w:val="15"/>
          <w:vertAlign w:val="superscript"/>
        </w:rPr>
        <w:t>P38</w:t>
      </w:r>
      <w:r>
        <w:t>。真正的危险信号在于资金是否经过混币器等特意设计的匿名化工具来掩盖来源（P114-P115），而非区块链本身的匿名性。</w:t>
      </w:r>
    </w:p>
    <w:p>
      <w:pPr>
        <w:spacing w:line="360" w:lineRule="auto" w:after="120"/>
      </w:pPr>
      <w:r/>
    </w:p>
    <w:p>
      <w:pPr>
        <w:spacing w:line="360" w:lineRule="auto" w:after="40"/>
      </w:pPr>
      <w:r>
        <w:t>6. 与加密货币和可兑换虚拟货币相关的常见风险包括:（选择三项。）</w:t>
      </w:r>
      <w:r>
        <w:br/>
      </w:r>
      <w:r>
        <w:t>Common risks associated with cryptocurrency and convertible virtual currencies include: (Select three.)</w:t>
      </w:r>
    </w:p>
    <w:p>
      <w:pPr>
        <w:spacing w:line="360" w:lineRule="auto" w:after="20"/>
      </w:pPr>
      <w:r>
        <w:t>A.从其他用户处窃取资金</w:t>
      </w:r>
      <w:r>
        <w:br/>
      </w:r>
      <w:r>
        <w:t>Funds being stolen from other users</w:t>
      </w:r>
    </w:p>
    <w:p>
      <w:pPr>
        <w:spacing w:line="360" w:lineRule="auto" w:after="20"/>
      </w:pPr>
      <w:r>
        <w:t>B.难以兑换成实体货币</w:t>
      </w:r>
      <w:r>
        <w:br/>
      </w:r>
      <w:r>
        <w:t>Difficulty converting into physical currency</w:t>
      </w:r>
    </w:p>
    <w:p>
      <w:pPr>
        <w:spacing w:line="360" w:lineRule="auto" w:after="20"/>
      </w:pPr>
      <w:r>
        <w:t>C.掩盖非法资金的来源</w:t>
      </w:r>
      <w:r>
        <w:br/>
      </w:r>
      <w:r>
        <w:t>Obscuring the source of illicit funds</w:t>
      </w:r>
    </w:p>
    <w:p>
      <w:pPr>
        <w:spacing w:line="360" w:lineRule="auto" w:after="20"/>
      </w:pPr>
      <w:r>
        <w:t>D.为其他非法活动和商品的支付提供便利</w:t>
      </w:r>
      <w:r>
        <w:br/>
      </w:r>
      <w:r>
        <w:t>Facilitating payment for other illicit activities and goods</w:t>
      </w:r>
    </w:p>
    <w:p>
      <w:pPr>
        <w:spacing w:line="360" w:lineRule="auto" w:after="20"/>
      </w:pPr>
      <w:r>
        <w:t>E.通过分层交易来隐藏源自非法活动的资金来源</w:t>
      </w:r>
      <w:r>
        <w:br/>
      </w:r>
      <w:r>
        <w:t>Layering transactions to hide the origin of funds derived from illicit activity</w:t>
      </w:r>
    </w:p>
    <w:p>
      <w:pPr>
        <w:spacing w:line="360" w:lineRule="auto" w:after="40"/>
      </w:pPr>
      <w:r>
        <w:t>答案:C、D、E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识别加密货币在洗钱框架下的三大核心风险维度</w:t>
      </w:r>
    </w:p>
    <w:p>
      <w:pPr>
        <w:spacing w:before="120" w:after="40"/>
      </w:pPr>
      <w:r>
        <w:rPr>
          <w:b/>
          <w:sz w:val="21"/>
          <w:shd w:fill="D6E4F0" w:val="clear"/>
        </w:rPr>
        <w:t>核心解析：</w:t>
      </w:r>
    </w:p>
    <w:p>
      <w:pPr>
        <w:spacing w:line="360" w:lineRule="auto" w:after="40"/>
        <w:ind w:firstLine="420"/>
      </w:pPr>
      <w:r>
        <w:rPr>
          <w:b/>
        </w:rPr>
        <w:t>加密货币的洗钱风险</w:t>
      </w:r>
      <w:r>
        <w:t>可从三个层面理解：第一，</w:t>
      </w:r>
      <w:r>
        <w:rPr>
          <w:b/>
        </w:rPr>
        <w:t>匿名性与跨境能力</w:t>
      </w:r>
      <w:r>
        <w:t>使其天然具备“掩盖非法资金来源”的特征——代币可在去中心化平台交换，模糊非法资金的来源与去向</w:t>
      </w:r>
      <w:r>
        <w:rPr>
          <w:sz w:val="15"/>
          <w:vertAlign w:val="superscript"/>
        </w:rPr>
        <w:t>P109</w:t>
      </w:r>
      <w:r>
        <w:t>，加密抵押稳定币同样可被犯罪分子利用复杂交易掩盖资金源头</w:t>
      </w:r>
      <w:r>
        <w:rPr>
          <w:sz w:val="15"/>
          <w:vertAlign w:val="superscript"/>
        </w:rPr>
        <w:t>P112</w:t>
      </w:r>
      <w:r>
        <w:t>。第二，加密货币的支付功能可为</w:t>
      </w:r>
      <w:r>
        <w:rPr>
          <w:b/>
        </w:rPr>
        <w:t>其他非法活动和商品提供支付便利</w:t>
      </w:r>
      <w:r>
        <w:t>，这是洗钱的核心环节之一。第三，在洗钱的处置、分层、整合三阶段中，加密货币在</w:t>
      </w:r>
      <w:r>
        <w:rPr>
          <w:b/>
        </w:rPr>
        <w:t>分层</w:t>
      </w:r>
      <w:r>
        <w:t>阶段作用显著——犯罪分子可通过不受监管的金融科技平台、加密货币和点对点支付网络进行资金分层</w:t>
      </w:r>
      <w:r>
        <w:rPr>
          <w:sz w:val="15"/>
          <w:vertAlign w:val="superscript"/>
        </w:rPr>
        <w:t>P39</w:t>
      </w:r>
      <w:r>
        <w:t>，这是“通过分层交易隐藏非法活动资金来源”的直接证据。三个正确项分别对应资金来源隐蔽性、支付便利性和交易分层三个风险维度，共同构成加密货币洗钱风险的核心画像。</w:t>
      </w:r>
    </w:p>
    <w:p>
      <w:pPr>
        <w:spacing w:before="120" w:after="40"/>
      </w:pPr>
      <w:r>
        <w:rPr>
          <w:b/>
          <w:sz w:val="21"/>
          <w:shd w:fill="D6E4F0" w:val="clear"/>
        </w:rPr>
        <w:t>A项错误：</w:t>
      </w:r>
    </w:p>
    <w:p>
      <w:pPr>
        <w:spacing w:line="360" w:lineRule="auto" w:after="40"/>
        <w:ind w:firstLine="420"/>
      </w:pPr>
      <w:r>
        <w:t>“从其他用户处窃取资金”属于网络犯罪手段（如钓鱼欺诈获取资金，P30），教材将其归入网络犯罪范畴。题干问的是与加密货币“相关的常见风险”，教材在加密资产章节聚焦的是洗钱风险（掩盖来源、分层、匿名支付），而非针对用户的直接盗窃行为。相比之下，C/D/E更直接匹配教材对加密资产风险的界定。</w:t>
      </w:r>
    </w:p>
    <w:p>
      <w:pPr>
        <w:spacing w:before="120" w:after="40"/>
      </w:pPr>
      <w:r>
        <w:rPr>
          <w:b/>
          <w:sz w:val="21"/>
          <w:shd w:fill="D6E4F0" w:val="clear"/>
        </w:rPr>
        <w:t>B项错误：</w:t>
      </w:r>
    </w:p>
    <w:p>
      <w:pPr>
        <w:spacing w:line="360" w:lineRule="auto" w:after="40"/>
        <w:ind w:firstLine="420"/>
      </w:pPr>
      <w:r>
        <w:t>教材明确指出法币抵押稳定币“易转换回传统法币”</w:t>
      </w:r>
      <w:r>
        <w:rPr>
          <w:sz w:val="15"/>
          <w:vertAlign w:val="superscript"/>
        </w:rPr>
        <w:t>P112</w:t>
      </w:r>
      <w:r>
        <w:t>，这与“难以兑换”相反。虽然某些波动性大的加密货币可能面临流动性问题，但教材在加密资产风险章节并未将“兑换困难”列为常见风险，反而强调其跨境转换的便利性带来的监管漏洞。题干更直接支持C/D/E而非B。</w:t>
      </w:r>
    </w:p>
    <w:p>
      <w:pPr>
        <w:spacing w:before="120" w:after="40"/>
      </w:pPr>
      <w:r>
        <w:rPr>
          <w:b/>
          <w:sz w:val="21"/>
          <w:shd w:fill="D6E4F0" w:val="clear"/>
        </w:rPr>
        <w:t>易错提醒：</w:t>
      </w:r>
    </w:p>
    <w:p>
      <w:pPr>
        <w:spacing w:line="360" w:lineRule="auto" w:after="40"/>
        <w:ind w:firstLine="420"/>
      </w:pPr>
      <w:r>
        <w:t>加密货币相关的“盗窃风险”与“洗钱风险”是两个不同维度。教材在P30将网络盗窃（钓鱼、恶意软件）归为网络犯罪手段，而在P109-P112将加密货币的匿名性、跨境性和分层能力归为洗钱风险。考试中若题干问“risk associated with cryptocurrency”，应优先匹配教材在加密资产章节专门讨论的风险，而非一般性的网络犯罪。</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