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CH04 (中英对照)</w:t>
      </w:r>
    </w:p>
    <w:p>
      <w:pPr>
        <w:spacing w:line="360" w:lineRule="auto" w:after="160"/>
      </w:pPr>
      <w:r>
        <w:t>一、单项选择题</w:t>
      </w:r>
    </w:p>
    <w:p>
      <w:pPr>
        <w:spacing w:line="360" w:lineRule="auto" w:after="40"/>
      </w:pPr>
      <w:r>
        <w:t>1. 一名客户经常向一个网络赌博账户存入大笔现金,并在存入不久后就提出取款请求,期间赌博活动极少.在博彩和游戏行业中,这种行为最有可能带来哪种洗钱风险？</w:t>
      </w:r>
      <w:r>
        <w:br/>
      </w:r>
      <w:r>
        <w:t>A customer frequently deposits large amounts of cash into an online gambling account and requests withdrawals shortly after with minimal gambling activity. What is the most likely money laundering risk associated with this behavior in the gambling and gaming industry?</w:t>
      </w:r>
    </w:p>
    <w:p>
      <w:pPr>
        <w:spacing w:line="360" w:lineRule="auto" w:after="20"/>
      </w:pPr>
      <w:r>
        <w:t>A.该客户正试图将非法资金转换为合法的取款.</w:t>
      </w:r>
      <w:r>
        <w:br/>
      </w:r>
      <w:r>
        <w:t>The customer is attempting to convert illicit funds into clean withdrawals</w:t>
      </w:r>
    </w:p>
    <w:p>
      <w:pPr>
        <w:spacing w:line="360" w:lineRule="auto" w:after="20"/>
      </w:pPr>
      <w:r>
        <w:t>B.该客户试图通过减少赌博活动来避免高额费用.</w:t>
      </w:r>
      <w:r>
        <w:br/>
      </w:r>
      <w:r>
        <w:t>The customer is attempting to avoid high fees by minimizing gambling activity</w:t>
      </w:r>
    </w:p>
    <w:p>
      <w:pPr>
        <w:spacing w:line="360" w:lineRule="auto" w:after="20"/>
      </w:pPr>
      <w:r>
        <w:t>C.该客户正在测试游戏平台的支付系统以排查是否存在欺诈行为.</w:t>
      </w:r>
      <w:r>
        <w:br/>
      </w:r>
      <w:r>
        <w:t>The customer is testing the gaming platform's payout system for potential fraud</w:t>
      </w:r>
    </w:p>
    <w:p>
      <w:pPr>
        <w:spacing w:line="360" w:lineRule="auto" w:after="20"/>
      </w:pPr>
      <w:r>
        <w:t>D.该客户是一名高风险赌徒,经常下大注.</w:t>
      </w:r>
      <w:r>
        <w:br/>
      </w:r>
      <w:r>
        <w:t>The customer is a high-risk gambler who regularly places large bets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识别博彩业中以“存取快、赌博少”为特征的洗钱手法</w:t>
      </w:r>
    </w:p>
    <w:p>
      <w:pPr>
        <w:spacing w:before="120" w:after="40"/>
      </w:pPr>
      <w:r>
        <w:rPr>
          <w:b/>
          <w:sz w:val="21"/>
          <w:shd w:fill="D6E4F0" w:val="clear"/>
        </w:rPr>
        <w:t>核心解析：</w:t>
      </w:r>
    </w:p>
    <w:p>
      <w:pPr>
        <w:spacing w:line="360" w:lineRule="auto" w:after="40"/>
        <w:ind w:firstLine="420"/>
      </w:pPr>
      <w:r>
        <w:t>教材描述了一种典型的博彩业洗钱手法：犯罪分子用非法资金</w:t>
      </w:r>
      <w:r>
        <w:rPr>
          <w:b/>
        </w:rPr>
        <w:t>匿名购买筹码</w:t>
      </w:r>
      <w:r>
        <w:t>，进行极少量赌博活动后立即兑现，从而实现资金的“清洗”</w:t>
      </w:r>
      <w:r>
        <w:rPr>
          <w:sz w:val="15"/>
          <w:vertAlign w:val="superscript"/>
        </w:rPr>
        <w:t>P120</w:t>
      </w:r>
      <w:r>
        <w:t>。题干中的行为模式——</w:t>
      </w:r>
      <w:r>
        <w:rPr>
          <w:b/>
        </w:rPr>
        <w:t>大笔现金存入、极少量赌博活动、短时间内取款</w:t>
      </w:r>
      <w:r>
        <w:t>——与这一手法完全吻合。客户的核心目的并非赌博，而是以赌场为管道将非法现金转换为表面合法的取款。</w:t>
      </w:r>
    </w:p>
    <w:p>
      <w:pPr>
        <w:spacing w:before="120" w:after="40"/>
      </w:pPr>
      <w:r>
        <w:rPr>
          <w:b/>
          <w:sz w:val="21"/>
          <w:shd w:fill="D6E4F0" w:val="clear"/>
        </w:rPr>
        <w:t>教材原句：</w:t>
      </w:r>
    </w:p>
    <w:p>
      <w:pPr>
        <w:spacing w:line="360" w:lineRule="auto" w:after="40"/>
        <w:ind w:firstLine="420"/>
      </w:pPr>
      <w:r>
        <w:t>"Criminals can anonymously purchase chips with illicit funds, gamble briefly, and cash out, effectively "cleaning" their money."</w:t>
      </w:r>
    </w:p>
    <w:p>
      <w:pPr>
        <w:spacing w:before="120" w:after="40"/>
      </w:pPr>
      <w:r>
        <w:rPr>
          <w:b/>
          <w:sz w:val="21"/>
          <w:shd w:fill="D6E4F0" w:val="clear"/>
        </w:rPr>
        <w:t>B项错误：</w:t>
      </w:r>
    </w:p>
    <w:p>
      <w:pPr>
        <w:spacing w:line="360" w:lineRule="auto" w:after="40"/>
        <w:ind w:firstLine="420"/>
      </w:pPr>
      <w:r>
        <w:t>题干并未提及费用问题，而“赌博活动极少”与规避费用之间也没有直接关联。相比之下，A项能直接解释“大额存入、少量赌博、快速取款”这一行为组合，关联更直接。</w:t>
      </w:r>
    </w:p>
    <w:p>
      <w:pPr>
        <w:spacing w:before="120" w:after="40"/>
      </w:pPr>
      <w:r>
        <w:rPr>
          <w:b/>
          <w:sz w:val="21"/>
          <w:shd w:fill="D6E4F0" w:val="clear"/>
        </w:rPr>
        <w:t>C项错误：</w:t>
      </w:r>
    </w:p>
    <w:p>
      <w:pPr>
        <w:spacing w:line="360" w:lineRule="auto" w:after="40"/>
        <w:ind w:firstLine="420"/>
      </w:pPr>
      <w:r>
        <w:t>选项要求推断客户有“测试”支付系统的主观意图，这超出了题干事实能支持的范围。频繁存入大额现金、少量赌博后快速取款，更符合A项所述的博彩业洗钱风险。</w:t>
      </w:r>
    </w:p>
    <w:p>
      <w:pPr>
        <w:spacing w:before="120" w:after="40"/>
      </w:pPr>
      <w:r>
        <w:rPr>
          <w:b/>
          <w:sz w:val="21"/>
          <w:shd w:fill="D6E4F0" w:val="clear"/>
        </w:rPr>
        <w:t>D项错误：</w:t>
      </w:r>
    </w:p>
    <w:p>
      <w:pPr>
        <w:spacing w:line="360" w:lineRule="auto" w:after="40"/>
        <w:ind w:firstLine="420"/>
      </w:pPr>
      <w:r>
        <w:t>题干明确指出“赌博活动极少”，这与“经常下大注”直接矛盾。相比之下，A项完整解释了“大笔存入、少玩、快取”这一组合行为的风险本质，匹配度更高。</w:t>
      </w:r>
    </w:p>
    <w:p>
      <w:pPr>
        <w:spacing w:before="120" w:after="40"/>
      </w:pPr>
      <w:r>
        <w:rPr>
          <w:b/>
          <w:sz w:val="21"/>
          <w:shd w:fill="D6E4F0" w:val="clear"/>
        </w:rPr>
        <w:t>易错提醒：</w:t>
      </w:r>
    </w:p>
    <w:p>
      <w:pPr>
        <w:spacing w:line="360" w:lineRule="auto" w:after="40"/>
        <w:ind w:firstLine="420"/>
      </w:pPr>
      <w:r>
        <w:t>区分合法高风险赌博与洗钱的关键在于“赌博活动是否与投入金额成比例”：少量赌博即兑现是洗钱红旗信号，而真正的高风险赌徒通常会有与投入金额匹配的持续下注行为。题干中“赌博活动极少”是判断洗钱而非正常赌博的核心线索。</w:t>
      </w:r>
    </w:p>
    <w:p>
      <w:pPr>
        <w:spacing w:line="360" w:lineRule="auto" w:after="120"/>
      </w:pPr>
      <w:r/>
    </w:p>
    <w:p>
      <w:pPr>
        <w:spacing w:line="360" w:lineRule="auto" w:after="40"/>
      </w:pPr>
      <w:r>
        <w:t>2. 一家房地产投资公司的所有者在三个月内分多次存入用现金购买的多张银行本票,这些本票来自两套公寓的销售所得.该账户还收到了来自其他金融机构的几笔每笔1万美元的电子转账.哪些活动被视为洗钱的可疑行为？</w:t>
      </w:r>
      <w:r>
        <w:br/>
      </w:r>
      <w:r>
        <w:t>The owner of a real estate investment company deposits multiple cashier's checks that were bought using cash over a three-month period from the sale of two apartments. This account also receives several electronic transfers from other financial institutions for US$10,000 each. What activity is considered suspicious of money laundering?</w:t>
      </w:r>
    </w:p>
    <w:p>
      <w:pPr>
        <w:spacing w:line="360" w:lineRule="auto" w:after="20"/>
      </w:pPr>
      <w:r>
        <w:t>A.接收来自其他金融机构的多笔电子转账，每笔金额为1万美元</w:t>
      </w:r>
      <w:r>
        <w:br/>
      </w:r>
      <w:r>
        <w:t>Receiving electronic transfers for US$10,000 amounts from other financial institutions</w:t>
      </w:r>
    </w:p>
    <w:p>
      <w:pPr>
        <w:spacing w:line="360" w:lineRule="auto" w:after="20"/>
      </w:pPr>
      <w:r>
        <w:t>B.在一段时间内用现金购买多张银行本票</w:t>
      </w:r>
      <w:r>
        <w:br/>
      </w:r>
      <w:r>
        <w:t>Using cash to buy multiple cashier's checks over a period of time</w:t>
      </w:r>
    </w:p>
    <w:p>
      <w:pPr>
        <w:spacing w:line="360" w:lineRule="auto" w:after="20"/>
      </w:pPr>
      <w:r>
        <w:t>C.与房地产投资公司开展业务</w:t>
      </w:r>
      <w:r>
        <w:br/>
      </w:r>
      <w:r>
        <w:t>Performing operations with real estate investment companies</w:t>
      </w:r>
    </w:p>
    <w:p>
      <w:pPr>
        <w:spacing w:line="360" w:lineRule="auto" w:after="20"/>
      </w:pPr>
      <w:r>
        <w:t>D.银行本票</w:t>
      </w:r>
      <w:r>
        <w:br/>
      </w:r>
      <w:r>
        <w:t>Cashier's checks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识别现金交易在房地产洗钱中的风险权重</w:t>
      </w:r>
    </w:p>
    <w:p>
      <w:pPr>
        <w:spacing w:before="120" w:after="40"/>
      </w:pPr>
      <w:r>
        <w:rPr>
          <w:b/>
          <w:sz w:val="21"/>
          <w:shd w:fill="D6E4F0" w:val="clear"/>
        </w:rPr>
        <w:t>核心解析：</w:t>
      </w:r>
    </w:p>
    <w:p>
      <w:pPr>
        <w:spacing w:line="360" w:lineRule="auto" w:after="40"/>
        <w:ind w:firstLine="420"/>
      </w:pPr>
      <w:r>
        <w:t>洗钱风险判断需要关注资金来源和可追踪性。教材指出，</w:t>
      </w:r>
      <w:r>
        <w:rPr>
          <w:b/>
        </w:rPr>
        <w:t>现金比通过金融机构完成的支付更难追踪</w:t>
      </w:r>
      <w:r>
        <w:t>，因此现金交易会增加洗钱风险</w:t>
      </w:r>
      <w:r>
        <w:rPr>
          <w:sz w:val="15"/>
          <w:vertAlign w:val="superscript"/>
        </w:rPr>
        <w:t>P122</w:t>
      </w:r>
      <w:r>
        <w:t>。题干中，行为人在三个月内多次用现金购买银行本票，再将这些本票存入账户；这种</w:t>
      </w:r>
      <w:r>
        <w:rPr>
          <w:b/>
        </w:rPr>
        <w:t>反复将现金转换为金融票据</w:t>
      </w:r>
      <w:r>
        <w:t>的模式，会增加核实原始资金来源和交易目的的难度，因而比单纯接收来自其他金融机构的电子转账更值得关注。银行本票本身是合法工具，风险来自“持续以现金购买多张本票”这一组合特征，因此B最符合题意。</w:t>
      </w:r>
    </w:p>
    <w:p>
      <w:pPr>
        <w:spacing w:before="120" w:after="40"/>
      </w:pPr>
      <w:r>
        <w:rPr>
          <w:b/>
          <w:sz w:val="21"/>
          <w:shd w:fill="D6E4F0" w:val="clear"/>
        </w:rPr>
        <w:t>教材原句：</w:t>
      </w:r>
    </w:p>
    <w:p>
      <w:pPr>
        <w:spacing w:line="360" w:lineRule="auto" w:after="40"/>
        <w:ind w:firstLine="420"/>
      </w:pPr>
      <w:r>
        <w:t>"Cash transactions remain relatively common in some markets and increase the potential for money laundering, as cash is more challenging to trace than payments made through financial institutions."</w:t>
      </w:r>
    </w:p>
    <w:p>
      <w:pPr>
        <w:spacing w:before="120" w:after="40"/>
      </w:pPr>
      <w:r>
        <w:rPr>
          <w:b/>
          <w:sz w:val="21"/>
          <w:shd w:fill="D6E4F0" w:val="clear"/>
        </w:rPr>
        <w:t>A项错误：</w:t>
      </w:r>
    </w:p>
    <w:p>
      <w:pPr>
        <w:spacing w:line="360" w:lineRule="auto" w:after="40"/>
        <w:ind w:firstLine="420"/>
      </w:pPr>
      <w:r>
        <w:t>题干中的电子转账金额为1万美元，在教材中，这个金额常出现在报告阈值（如FinCEN表格8300）P298和拆分交易举例</w:t>
      </w:r>
      <w:r>
        <w:rPr>
          <w:sz w:val="15"/>
          <w:vertAlign w:val="superscript"/>
        </w:rPr>
        <w:t>P445</w:t>
      </w:r>
      <w:r>
        <w:t>上下文中。但教材案例强调的拆分模式是“存入9900美元以规避1万美元报告要求”。题干描述的是“接收”1万美元转账，而不是“存入”略低于阈值的金额。接收恰好1万美元的电子转账，不如主动用现金购买多张票据那样更吻合“模糊资金链路”的洗钱行为特征。</w:t>
      </w:r>
    </w:p>
    <w:p>
      <w:pPr>
        <w:spacing w:before="120" w:after="40"/>
      </w:pPr>
      <w:r>
        <w:rPr>
          <w:b/>
          <w:sz w:val="21"/>
          <w:shd w:fill="D6E4F0" w:val="clear"/>
        </w:rPr>
        <w:t>C项错误：</w:t>
      </w:r>
    </w:p>
    <w:p>
      <w:pPr>
        <w:spacing w:line="360" w:lineRule="auto" w:after="40"/>
        <w:ind w:firstLine="420"/>
      </w:pPr>
      <w:r>
        <w:t>房地产行业确实“因交易金额大”而固有洗钱风险</w:t>
      </w:r>
      <w:r>
        <w:rPr>
          <w:sz w:val="15"/>
          <w:vertAlign w:val="superscript"/>
        </w:rPr>
        <w:t>P121</w:t>
      </w:r>
      <w:r>
        <w:t>，但与房地产投资公司发生业务操作本身是一种合法商业行为。题干问的是“哪些活动”本身可疑，而非“与谁交易”可疑。教材将“全部或主要用现金支付”列为红旗信号</w:t>
      </w:r>
      <w:r>
        <w:rPr>
          <w:sz w:val="15"/>
          <w:vertAlign w:val="superscript"/>
        </w:rPr>
        <w:t>P122</w:t>
      </w:r>
      <w:r>
        <w:t>，而非“公司类型”。因此，与房地产公司交易作为可疑指标，匹配度不如直接用现金购买票据这一行为。</w:t>
      </w:r>
    </w:p>
    <w:p>
      <w:pPr>
        <w:spacing w:before="120" w:after="40"/>
      </w:pPr>
      <w:r>
        <w:rPr>
          <w:b/>
          <w:sz w:val="21"/>
          <w:shd w:fill="D6E4F0" w:val="clear"/>
        </w:rPr>
        <w:t>D项错误：</w:t>
      </w:r>
    </w:p>
    <w:p>
      <w:pPr>
        <w:spacing w:line="360" w:lineRule="auto" w:after="40"/>
        <w:ind w:firstLine="420"/>
      </w:pPr>
      <w:r>
        <w:t>银行本票是合法金融工具，单看工具名称无法判断交易是否可疑。题干中的关键风险来自持续使用现金购买多张本票这一行为模式，而不是本票本身，因此D不如B具体。</w:t>
      </w:r>
    </w:p>
    <w:p>
      <w:pPr>
        <w:spacing w:before="120" w:after="40"/>
      </w:pPr>
      <w:r>
        <w:rPr>
          <w:b/>
          <w:sz w:val="21"/>
          <w:shd w:fill="D6E4F0" w:val="clear"/>
        </w:rPr>
        <w:t>易错提醒：</w:t>
      </w:r>
    </w:p>
    <w:p>
      <w:pPr>
        <w:spacing w:line="360" w:lineRule="auto" w:after="40"/>
        <w:ind w:firstLine="420"/>
      </w:pPr>
      <w:r>
        <w:t>金融工具本身不必然可疑，关键在于其使用方式。银行本票（cashier's check）在洗钱语境下是否可疑，取决于购买方式和资金来源。本题的风险点在于“用现金购买多张本票”，而不是银行本票这一工具本身。</w:t>
      </w:r>
    </w:p>
    <w:p>
      <w:pPr>
        <w:spacing w:line="360" w:lineRule="auto" w:after="120"/>
      </w:pPr>
      <w:r/>
    </w:p>
    <w:p>
      <w:pPr>
        <w:spacing w:line="360" w:lineRule="auto" w:after="40"/>
      </w:pPr>
      <w:r>
        <w:t>3. 一家律师事务所为一位客户设立复杂的离岸公司架构，且客户资金来源文件极少。该事务所不质疑客户的交易，也不报告任何可疑活动。该律师事务所的这种行为主要存在何种洗钱风险？</w:t>
      </w:r>
      <w:r>
        <w:br/>
      </w:r>
      <w:r>
        <w:t>A law firm is involved in setting up complex offshore corporate structures for a client with minimal documentation of the source of funds. The firm does not question the client's transactions or report any suspicious activity. What is the primary money laundering risk associated with this behavior by the law firm?</w:t>
      </w:r>
    </w:p>
    <w:p>
      <w:pPr>
        <w:spacing w:line="360" w:lineRule="auto" w:after="20"/>
      </w:pPr>
      <w:r>
        <w:t>A.该律师事务所通过尽量减少高风险司法管辖区客户的文件来规避费用.</w:t>
      </w:r>
      <w:r>
        <w:br/>
      </w:r>
      <w:r>
        <w:t>The law firm is avoiding fees by minimizing documentation for clients in high-risk jurisdictions</w:t>
      </w:r>
    </w:p>
    <w:p>
      <w:pPr>
        <w:spacing w:line="360" w:lineRule="auto" w:after="20"/>
      </w:pPr>
      <w:r>
        <w:t>B.该律师事务所正在进行激进的税务筹划,以帮助客户逃避依法应缴的税款.</w:t>
      </w:r>
      <w:r>
        <w:br/>
      </w:r>
      <w:r>
        <w:t>The law firm is engaging in aggressive tax planning to help the client avoid legal taxes</w:t>
      </w:r>
    </w:p>
    <w:p>
      <w:pPr>
        <w:spacing w:line="360" w:lineRule="auto" w:after="20"/>
      </w:pPr>
      <w:r>
        <w:t>C.该律师事务所提供的是常规法律服务,其中包括构建复杂的法律架构,无需进一步审查.</w:t>
      </w:r>
      <w:r>
        <w:br/>
      </w:r>
      <w:r>
        <w:t>The law firm is providing routine legal services that include creating complex legal structures, and no further scrutiny is required</w:t>
      </w:r>
    </w:p>
    <w:p>
      <w:pPr>
        <w:spacing w:line="360" w:lineRule="auto" w:after="20"/>
      </w:pPr>
      <w:r>
        <w:t>D.该律师事务所充当着看门人的角色,通过复杂的公司架构为非法资金的转移和隐匿提供便利.</w:t>
      </w:r>
      <w:r>
        <w:br/>
      </w:r>
      <w:r>
        <w:t>The law firm is acting as a gatekeeper by facilitating the movement and concealment of illicit funds through complex corporate structures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识别DNFBP作为“看门人”的洗钱风险</w:t>
      </w:r>
    </w:p>
    <w:p>
      <w:pPr>
        <w:spacing w:before="120" w:after="40"/>
      </w:pPr>
      <w:r>
        <w:rPr>
          <w:b/>
          <w:sz w:val="21"/>
          <w:shd w:fill="D6E4F0" w:val="clear"/>
        </w:rPr>
        <w:t>核心解析：</w:t>
      </w:r>
    </w:p>
    <w:p>
      <w:pPr>
        <w:spacing w:line="360" w:lineRule="auto" w:after="40"/>
        <w:ind w:firstLine="420"/>
      </w:pPr>
      <w:r>
        <w:t>教材将DNFBP（指定非金融业和职业）称为</w:t>
      </w:r>
      <w:r>
        <w:rPr>
          <w:b/>
        </w:rPr>
        <w:t>“看门人”</w:t>
      </w:r>
      <w:r>
        <w:t>，指其充当犯罪分子与金融系统之间的中介</w:t>
      </w:r>
      <w:r>
        <w:rPr>
          <w:sz w:val="15"/>
          <w:vertAlign w:val="superscript"/>
        </w:rPr>
        <w:t>P119</w:t>
      </w:r>
      <w:r>
        <w:t>。本题中，律师事务所为客户设立复杂的离岸公司架构，客户资金文件极少，事务所有意不质疑交易、不报告可疑活动。这直接契合法律专业人士作为“看门人”的典型风险行为——通过设立信托或壳公司等</w:t>
      </w:r>
      <w:r>
        <w:rPr>
          <w:b/>
        </w:rPr>
        <w:t>复杂结构隐藏真实受益人</w:t>
      </w:r>
      <w:r>
        <w:t>，为非法资金转移和隐匿提供便利</w:t>
      </w:r>
      <w:r>
        <w:rPr>
          <w:sz w:val="15"/>
          <w:vertAlign w:val="superscript"/>
        </w:rPr>
        <w:t>P119</w:t>
      </w:r>
      <w:r>
        <w:t>。选项D准确地将此种行为定性为“充当看门人，通过复杂的公司架构为非法资金的转移和隐匿提供便利”，直接命中了DNFBP在教材中的核心洗钱风险定义。</w:t>
      </w:r>
    </w:p>
    <w:p>
      <w:pPr>
        <w:spacing w:before="120" w:after="40"/>
      </w:pPr>
      <w:r>
        <w:rPr>
          <w:b/>
          <w:sz w:val="21"/>
          <w:shd w:fill="D6E4F0" w:val="clear"/>
        </w:rPr>
        <w:t>教材原句：</w:t>
      </w:r>
    </w:p>
    <w:p>
      <w:pPr>
        <w:spacing w:line="360" w:lineRule="auto" w:after="40"/>
        <w:ind w:firstLine="420"/>
      </w:pPr>
      <w:r>
        <w:t>"Often referred to as "gatekeepers," these businesses act as intermediaries between criminals and the financial system."</w:t>
      </w:r>
    </w:p>
    <w:p>
      <w:pPr>
        <w:spacing w:before="120" w:after="40"/>
      </w:pPr>
      <w:r>
        <w:rPr>
          <w:b/>
          <w:sz w:val="21"/>
          <w:shd w:fill="D6E4F0" w:val="clear"/>
        </w:rPr>
        <w:t>A项错误：</w:t>
      </w:r>
    </w:p>
    <w:p>
      <w:pPr>
        <w:spacing w:line="360" w:lineRule="auto" w:after="40"/>
        <w:ind w:firstLine="420"/>
      </w:pPr>
      <w:r>
        <w:t>选项强调的“规避费用”在教材关于高风险司法管辖区的讨论中未成为核心风险点，教材关注的是“规避特定风险”以最小化对高风险区域的敞口</w:t>
      </w:r>
      <w:r>
        <w:rPr>
          <w:sz w:val="15"/>
          <w:vertAlign w:val="superscript"/>
        </w:rPr>
        <w:t>P273</w:t>
      </w:r>
      <w:r>
        <w:t>。题干描述的行为（设立复杂架构、不质疑交易）更直接指向为洗钱提供便利，而非节省成本或规避费用。</w:t>
      </w:r>
    </w:p>
    <w:p>
      <w:pPr>
        <w:spacing w:before="120" w:after="40"/>
      </w:pPr>
      <w:r>
        <w:rPr>
          <w:b/>
          <w:sz w:val="21"/>
          <w:shd w:fill="D6E4F0" w:val="clear"/>
        </w:rPr>
        <w:t>B项错误：</w:t>
      </w:r>
    </w:p>
    <w:p>
      <w:pPr>
        <w:spacing w:line="360" w:lineRule="auto" w:after="40"/>
        <w:ind w:firstLine="420"/>
      </w:pPr>
      <w:r>
        <w:t>该项描述的是通过激进税务筹划逃避依法应缴税款，侧重税务违法风险。题干则突出复杂离岸架构、资金来源文件极少、不质疑交易且不报告可疑活动，更直接体现专业服务机构作为“看门人”为非法资金转移和隐匿提供便利的洗钱风险，因此D比B更符合题问的主要风险。</w:t>
      </w:r>
    </w:p>
    <w:p>
      <w:pPr>
        <w:spacing w:before="120" w:after="40"/>
      </w:pPr>
      <w:r>
        <w:rPr>
          <w:b/>
          <w:sz w:val="21"/>
          <w:shd w:fill="D6E4F0" w:val="clear"/>
        </w:rPr>
        <w:t>C项错误：</w:t>
      </w:r>
    </w:p>
    <w:p>
      <w:pPr>
        <w:spacing w:line="360" w:lineRule="auto" w:after="40"/>
        <w:ind w:firstLine="420"/>
      </w:pPr>
      <w:r>
        <w:t>教材指出法律行业面临显著洗钱风险，“犯罪分子常利用法律专业人士的服务隐藏非法资金”</w:t>
      </w:r>
      <w:r>
        <w:rPr>
          <w:sz w:val="15"/>
          <w:vertAlign w:val="superscript"/>
        </w:rPr>
        <w:t>P125</w:t>
      </w:r>
      <w:r>
        <w:t>。将设立复杂离岸架构且不审查资金来源的行为视为“常规法律服务、无需进一步审查”，忽视了教材为DNFBP设定的反洗钱义务。题干中“minimal documentation”和“不报告”的特征，使该行为超出了常规服务的边界。</w:t>
      </w:r>
    </w:p>
    <w:p>
      <w:pPr>
        <w:spacing w:line="360" w:lineRule="auto" w:after="120"/>
      </w:pPr>
      <w:r/>
    </w:p>
    <w:p>
      <w:pPr>
        <w:spacing w:line="360" w:lineRule="auto" w:after="40"/>
      </w:pPr>
      <w:r>
        <w:t>4. 诸如律师、会计师以及信托和公司服务提供商(TCSP)等职业有时被称为“看门人”,因为他们:</w:t>
      </w:r>
      <w:r>
        <w:br/>
      </w:r>
      <w:r>
        <w:t>Professions such as lawyers, accountants, and trust and company service providers (TCSPs) are sometimes referred to as gatekeepers because they:</w:t>
      </w:r>
    </w:p>
    <w:p>
      <w:pPr>
        <w:spacing w:line="360" w:lineRule="auto" w:after="20"/>
      </w:pPr>
      <w:r>
        <w:t>A.往往不了解也不受反洗钱法律法规的约束,无意中让犯罪分子进入合法经济领域.</w:t>
      </w:r>
      <w:r>
        <w:br/>
      </w:r>
      <w:r>
        <w:t>Often do not understand and are not covered by money laundering laws and regulations, unwittingly allowing criminals to enter the legitimate economy</w:t>
      </w:r>
    </w:p>
    <w:p>
      <w:pPr>
        <w:spacing w:line="360" w:lineRule="auto" w:after="20"/>
      </w:pPr>
      <w:r>
        <w:t>B.是进入金融体系的一个入口,也是防范非法资金渗入合法经济的第一道防线</w:t>
      </w:r>
      <w:r>
        <w:br/>
      </w:r>
      <w:r>
        <w:t>Are an entry point to the financial system and a first line of defense against the infiltration of illicit funds into the legitimate economy</w:t>
      </w:r>
    </w:p>
    <w:p>
      <w:pPr>
        <w:spacing w:line="360" w:lineRule="auto" w:after="20"/>
      </w:pPr>
      <w:r>
        <w:t>C.根据所有司法管辖区的反洗钱法律法规,必须阻止任何犯罪分子将非法资金融入合法经济.</w:t>
      </w:r>
      <w:r>
        <w:br/>
      </w:r>
      <w:r>
        <w:t>Are required under money laundering laws and regulations in all jurisdictions to stop any criminals from being able to integrate illicit funds into the legitimate economy</w:t>
      </w:r>
    </w:p>
    <w:p>
      <w:pPr>
        <w:spacing w:line="360" w:lineRule="auto" w:after="20"/>
      </w:pPr>
      <w:r>
        <w:t>D.是高风险主体,他们可能故意让犯罪分子进入合法经济领域.</w:t>
      </w:r>
      <w:r>
        <w:br/>
      </w:r>
      <w:r>
        <w:t>Are high-risk actors who may deliberately allow criminals to enter the legitimate economy</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理解DNFBP作为守门人的中介与第一道防线角色</w:t>
      </w:r>
    </w:p>
    <w:p>
      <w:pPr>
        <w:spacing w:before="120" w:after="40"/>
      </w:pPr>
      <w:r>
        <w:rPr>
          <w:b/>
          <w:sz w:val="21"/>
          <w:shd w:fill="D6E4F0" w:val="clear"/>
        </w:rPr>
        <w:t>核心解析：</w:t>
      </w:r>
    </w:p>
    <w:p>
      <w:pPr>
        <w:spacing w:line="360" w:lineRule="auto" w:after="40"/>
        <w:ind w:firstLine="420"/>
      </w:pPr>
      <w:r>
        <w:t>教材将指定的非金融企业及行业（DNFBP）常被称为</w:t>
      </w:r>
      <w:r>
        <w:rPr>
          <w:b/>
        </w:rPr>
        <w:t>“看门人”</w:t>
      </w:r>
      <w:r>
        <w:t>，指其充当犯罪分子与金融系统之间的中介</w:t>
      </w:r>
      <w:r>
        <w:rPr>
          <w:sz w:val="15"/>
          <w:vertAlign w:val="superscript"/>
        </w:rPr>
        <w:t>P119</w:t>
      </w:r>
      <w:r>
        <w:t>。这种中介角色天然包含两个侧面：既是接触金融体系的入口，也是阻止非法资金进入的防线。题干中律师、会计师、信托与公司服务提供商正属于DNFBP，因此选项B所描述的“进入金融体系的一个入口”与“防范非法资金渗入合法经济的第一道防线”恰好对应了看门人作为中介的</w:t>
      </w:r>
      <w:r>
        <w:rPr>
          <w:b/>
        </w:rPr>
        <w:t>桥梁与屏障功能</w:t>
      </w:r>
      <w:r>
        <w:t>，比其他选项更直接契合教材定义。</w:t>
      </w:r>
    </w:p>
    <w:p>
      <w:pPr>
        <w:spacing w:before="120" w:after="40"/>
      </w:pPr>
      <w:r>
        <w:rPr>
          <w:b/>
          <w:sz w:val="21"/>
          <w:shd w:fill="D6E4F0" w:val="clear"/>
        </w:rPr>
        <w:t>教材原句：</w:t>
      </w:r>
    </w:p>
    <w:p>
      <w:pPr>
        <w:spacing w:line="360" w:lineRule="auto" w:after="40"/>
        <w:ind w:firstLine="420"/>
      </w:pPr>
      <w:r>
        <w:t>"Often referred to as "gatekeepers," these businesses act as intermediaries between criminals and the financial system."</w:t>
      </w:r>
    </w:p>
    <w:p>
      <w:pPr>
        <w:spacing w:before="120" w:after="40"/>
      </w:pPr>
      <w:r>
        <w:rPr>
          <w:b/>
          <w:sz w:val="21"/>
          <w:shd w:fill="D6E4F0" w:val="clear"/>
        </w:rPr>
        <w:t>A项错误：</w:t>
      </w:r>
    </w:p>
    <w:p>
      <w:pPr>
        <w:spacing w:line="360" w:lineRule="auto" w:after="40"/>
        <w:ind w:firstLine="420"/>
      </w:pPr>
      <w:r>
        <w:t>DNFBP从事的部分业务容易被犯罪分子利用，但这不表示其通常不了解反洗钱要求或天然不受监管。看门人的关键特征是处于客户与金融体系之间的重要入口，而不是对法规无知或获得豁免。</w:t>
      </w:r>
    </w:p>
    <w:p>
      <w:pPr>
        <w:spacing w:before="120" w:after="40"/>
      </w:pPr>
      <w:r>
        <w:rPr>
          <w:b/>
          <w:sz w:val="21"/>
          <w:shd w:fill="D6E4F0" w:val="clear"/>
        </w:rPr>
        <w:t>C项错误：</w:t>
      </w:r>
    </w:p>
    <w:p>
      <w:pPr>
        <w:spacing w:line="360" w:lineRule="auto" w:after="40"/>
        <w:ind w:firstLine="420"/>
      </w:pPr>
      <w:r>
        <w:t>“所有司法管辖区”和“阻止任何犯罪分子”都是绝对化表述。DNFBP的具体义务取决于适用法律和业务风险，其作用是识别并降低风险，而不是保证在全球范围内阻止一切犯罪活动。</w:t>
      </w:r>
    </w:p>
    <w:p>
      <w:pPr>
        <w:spacing w:before="120" w:after="40"/>
      </w:pPr>
      <w:r>
        <w:rPr>
          <w:b/>
          <w:sz w:val="21"/>
          <w:shd w:fill="D6E4F0" w:val="clear"/>
        </w:rPr>
        <w:t>D项错误：</w:t>
      </w:r>
    </w:p>
    <w:p>
      <w:pPr>
        <w:spacing w:line="360" w:lineRule="auto" w:after="40"/>
        <w:ind w:firstLine="420"/>
      </w:pPr>
      <w:r>
        <w:t>看门人可能被犯罪分子利用，也可能故意提供协助，但这些是具体行为风险，不能作为看门人概念本身的定义。该概念强调的是其中介位置以及由此产生的准入、防范责任，因此B更准确。</w:t>
      </w:r>
    </w:p>
    <w:p>
      <w:pPr>
        <w:spacing w:line="360" w:lineRule="auto" w:after="120"/>
      </w:pPr>
      <w:r/>
    </w:p>
    <w:p>
      <w:pPr>
        <w:spacing w:line="360" w:lineRule="auto" w:after="40"/>
      </w:pPr>
      <w:r>
        <w:t>5. 虽然信托和公司服务提供商（TCSP）有正当理由任命代名股东，但代名股东的哪一特征会带来最大的金融犯罪风险？</w:t>
      </w:r>
      <w:r>
        <w:br/>
      </w:r>
      <w:r>
        <w:t>While there are legitimate reasons for trust and company service providers (TCSPs) to appoint a nominee shareholder, which feature of a nominee shareholder presents the greatest financial crime risk?</w:t>
      </w:r>
    </w:p>
    <w:p>
      <w:pPr>
        <w:spacing w:line="360" w:lineRule="auto" w:after="20"/>
      </w:pPr>
      <w:r>
        <w:t>A.提高公司股份的流动性，并便于实施退出策略</w:t>
      </w:r>
      <w:r>
        <w:br/>
      </w:r>
      <w:r>
        <w:t>Supporting company liquidity and ease of exit strategies</w:t>
      </w:r>
    </w:p>
    <w:p>
      <w:pPr>
        <w:spacing w:line="360" w:lineRule="auto" w:after="20"/>
      </w:pPr>
      <w:r>
        <w:t>B.通过将受益所有人的身份从公共登记册中隐藏起来为其提供匿名性</w:t>
      </w:r>
      <w:r>
        <w:br/>
      </w:r>
      <w:r>
        <w:t>Providing anonymity for the beneficial owner by keeping their identity hidden from the public register</w:t>
      </w:r>
    </w:p>
    <w:p>
      <w:pPr>
        <w:spacing w:line="360" w:lineRule="auto" w:after="20"/>
      </w:pPr>
      <w:r>
        <w:t>C.简化与持股相关的行政事务</w:t>
      </w:r>
      <w:r>
        <w:br/>
      </w:r>
      <w:r>
        <w:t>Simplifying administrative tasks associated with shareholding</w:t>
      </w:r>
    </w:p>
    <w:p>
      <w:pPr>
        <w:spacing w:line="360" w:lineRule="auto" w:after="20"/>
      </w:pPr>
      <w:r>
        <w:t>D.协助非居民遵守本地所有权法规</w:t>
      </w:r>
      <w:r>
        <w:br/>
      </w:r>
      <w:r>
        <w:t>Helping non-residents comply with local ownership laws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识别名义股东安排中隐藏UBO身份的核心洗钱风险</w:t>
      </w:r>
    </w:p>
    <w:p>
      <w:pPr>
        <w:spacing w:before="120" w:after="40"/>
      </w:pPr>
      <w:r>
        <w:rPr>
          <w:b/>
          <w:sz w:val="21"/>
          <w:shd w:fill="D6E4F0" w:val="clear"/>
        </w:rPr>
        <w:t>核心解析：</w:t>
      </w:r>
    </w:p>
    <w:p>
      <w:pPr>
        <w:spacing w:line="360" w:lineRule="auto" w:after="40"/>
        <w:ind w:firstLine="420"/>
      </w:pPr>
      <w:r>
        <w:t>名义董事或股东可被用于</w:t>
      </w:r>
      <w:r>
        <w:rPr>
          <w:b/>
        </w:rPr>
        <w:t>隐藏最终受益所有人（UBO）的身份</w:t>
      </w:r>
      <w:r>
        <w:t>，通过制造匿名层增加洗钱风险</w:t>
      </w:r>
      <w:r>
        <w:rPr>
          <w:sz w:val="15"/>
          <w:vertAlign w:val="superscript"/>
        </w:rPr>
        <w:t>P127</w:t>
      </w:r>
      <w:r>
        <w:t>。题干中代名股东（nominee shareholder）正是这种名义安排的一种形式，其最突出的金融犯罪风险在于使真正的受益所有人从公共登记册中隐匿，从而让非法活动得以掩盖。选项B直接指向这一风险：为受益所有人提供匿名性，将其身份从公共登记册中隐藏。这与教材对名义结构风险的定义最吻合，因此是正确的。</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A项错误：</w:t>
      </w:r>
    </w:p>
    <w:p>
      <w:pPr>
        <w:spacing w:line="360" w:lineRule="auto" w:after="40"/>
        <w:ind w:firstLine="420"/>
      </w:pPr>
      <w:r>
        <w:t>提高公司流动性或便于退出属于商业安排的潜在效果，不能说明代名股东为什么会增加金融犯罪风险。题干关注的是该结构如何遮蔽真实控制人，因此A不如B直接。</w:t>
      </w:r>
    </w:p>
    <w:p>
      <w:pPr>
        <w:spacing w:before="120" w:after="40"/>
      </w:pPr>
      <w:r>
        <w:rPr>
          <w:b/>
          <w:sz w:val="21"/>
          <w:shd w:fill="D6E4F0" w:val="clear"/>
        </w:rPr>
        <w:t>C项错误：</w:t>
      </w:r>
    </w:p>
    <w:p>
      <w:pPr>
        <w:spacing w:line="360" w:lineRule="auto" w:after="40"/>
        <w:ind w:firstLine="420"/>
      </w:pPr>
      <w:r>
        <w:t>简化行政事务可能是名义服务的正当用途，但便利性本身不是金融犯罪风险。真正需要关注的是登记股东与实际受益所有人分离后，身份和控制关系可能被隐藏。</w:t>
      </w:r>
    </w:p>
    <w:p>
      <w:pPr>
        <w:spacing w:before="120" w:after="40"/>
      </w:pPr>
      <w:r>
        <w:rPr>
          <w:b/>
          <w:sz w:val="21"/>
          <w:shd w:fill="D6E4F0" w:val="clear"/>
        </w:rPr>
        <w:t>D项错误：</w:t>
      </w:r>
    </w:p>
    <w:p>
      <w:pPr>
        <w:spacing w:line="360" w:lineRule="auto" w:after="40"/>
        <w:ind w:firstLine="420"/>
      </w:pPr>
      <w:r>
        <w:t>协助非居民满足合法的本地所有权要求属于合规用途，不等于该安排的主要金融犯罪风险。代名股东被滥用时，核心问题是隐匿UBO，而不是协助守法，因此D不及B。</w:t>
      </w:r>
    </w:p>
    <w:p>
      <w:pPr>
        <w:spacing w:before="120" w:after="40"/>
      </w:pPr>
      <w:r>
        <w:rPr>
          <w:b/>
          <w:sz w:val="21"/>
          <w:shd w:fill="D6E4F0" w:val="clear"/>
        </w:rPr>
        <w:t>易错提醒：</w:t>
      </w:r>
    </w:p>
    <w:p>
      <w:pPr>
        <w:spacing w:line="360" w:lineRule="auto" w:after="40"/>
        <w:ind w:firstLine="420"/>
      </w:pPr>
      <w:r>
        <w:t>代名股东/名义股东与受益所有人的区别：名义股东是登记在册的股东，受益所有人是真正拥有和控制公司的人。名义股东安排的固有风险在于两者分离，使受益所有人得以隐藏，这正是教材认定的洗钱风险核心</w:t>
      </w:r>
      <w:r>
        <w:rPr>
          <w:sz w:val="15"/>
          <w:vertAlign w:val="superscript"/>
        </w:rPr>
        <w:t>P127</w:t>
      </w:r>
      <w:r>
        <w:t>。题目中“最大的金融犯罪风险”应指向这一隐藏身份的意图，而非名义服务的正常商业功能。</w:t>
      </w:r>
    </w:p>
    <w:p>
      <w:pPr>
        <w:spacing w:line="360" w:lineRule="auto" w:after="120"/>
      </w:pPr>
      <w:r/>
    </w:p>
    <w:p>
      <w:pPr>
        <w:spacing w:line="360" w:lineRule="auto" w:after="40"/>
      </w:pPr>
      <w:r>
        <w:t>6. 除了对个人造成的身心伤害之外,以下哪些问题与不受监管的网络赌博和游戏所带来的巨大成本有关？</w:t>
      </w:r>
      <w:r>
        <w:br/>
      </w:r>
      <w:r>
        <w:t>Beyond the physical and mental harm caused to individuals, which of the following problems can be linked to significant costs from unregulated online gambling and gaming?</w:t>
      </w:r>
    </w:p>
    <w:p>
      <w:pPr>
        <w:spacing w:line="360" w:lineRule="auto" w:after="20"/>
      </w:pPr>
      <w:r>
        <w:t>A.经济与社会</w:t>
      </w:r>
      <w:r>
        <w:br/>
      </w:r>
      <w:r>
        <w:t>Economic and societal</w:t>
      </w:r>
    </w:p>
    <w:p>
      <w:pPr>
        <w:spacing w:line="360" w:lineRule="auto" w:after="20"/>
      </w:pPr>
      <w:r>
        <w:t>B.政治与监管</w:t>
      </w:r>
      <w:r>
        <w:br/>
      </w:r>
      <w:r>
        <w:t>Political and regulatory</w:t>
      </w:r>
    </w:p>
    <w:p>
      <w:pPr>
        <w:spacing w:line="360" w:lineRule="auto" w:after="20"/>
      </w:pPr>
      <w:r>
        <w:t>C.治理与合规</w:t>
      </w:r>
      <w:r>
        <w:br/>
      </w:r>
      <w:r>
        <w:t>Governance and compliance</w:t>
      </w:r>
    </w:p>
    <w:p>
      <w:pPr>
        <w:spacing w:line="360" w:lineRule="auto" w:after="20"/>
      </w:pPr>
      <w:r>
        <w:t>D.行业和司法管辖区方面</w:t>
      </w:r>
      <w:r>
        <w:br/>
      </w:r>
      <w:r>
        <w:t>Sectoral and jurisdictional</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游戏行业的金融犯罪风险及其经济与社会后果</w:t>
      </w:r>
    </w:p>
    <w:p>
      <w:pPr>
        <w:spacing w:before="120" w:after="40"/>
      </w:pPr>
      <w:r>
        <w:rPr>
          <w:b/>
          <w:sz w:val="21"/>
          <w:shd w:fill="D6E4F0" w:val="clear"/>
        </w:rPr>
        <w:t>核心解析：</w:t>
      </w:r>
    </w:p>
    <w:p>
      <w:pPr>
        <w:spacing w:line="360" w:lineRule="auto" w:after="40"/>
        <w:ind w:firstLine="420"/>
      </w:pPr>
      <w:r>
        <w:t>教材指出，游戏行业具有固有的高金融犯罪风险</w:t>
      </w:r>
      <w:r>
        <w:rPr>
          <w:sz w:val="15"/>
          <w:vertAlign w:val="superscript"/>
        </w:rPr>
        <w:t>P120</w:t>
      </w:r>
      <w:r>
        <w:t>，实体游戏和在线游戏均可能面临金融犯罪风险，并会接触有组织犯罪、高利贷、毒品交易、人口贩运等上游犯罪威胁</w:t>
      </w:r>
      <w:r>
        <w:rPr>
          <w:sz w:val="15"/>
          <w:vertAlign w:val="superscript"/>
        </w:rPr>
        <w:t>P121</w:t>
      </w:r>
      <w:r>
        <w:t>。因此，不受监管并不是一种“成本类别”，而是可能使此类风险缺乏有效控制的条件。对于风险实现后的后果，教材明确概括为</w:t>
      </w:r>
      <w:r>
        <w:rPr>
          <w:b/>
        </w:rPr>
        <w:t>深远的社会和经济后果</w:t>
      </w:r>
      <w:r>
        <w:t>，包括破坏制度、侵蚀公众信任、造成长期经济损害</w:t>
      </w:r>
      <w:r>
        <w:rPr>
          <w:sz w:val="15"/>
          <w:vertAlign w:val="superscript"/>
        </w:rPr>
        <w:t>P42</w:t>
      </w:r>
      <w:r>
        <w:t>，并可能破坏经济稳定、产生更广泛的负面社会后果</w:t>
      </w:r>
      <w:r>
        <w:rPr>
          <w:sz w:val="15"/>
          <w:vertAlign w:val="superscript"/>
        </w:rPr>
        <w:t>P43</w:t>
      </w:r>
      <w:r>
        <w:t>。题干问除个人身心伤害外还会带来哪一类巨大成本，最符合教材后果分类的是A“经济与社会”。这里应理解为网络赌博和游戏可能被金融犯罪利用并由此产生相关后果，不能把网络赌博本身直接等同于金融犯罪。</w:t>
      </w:r>
    </w:p>
    <w:p>
      <w:pPr>
        <w:spacing w:before="120" w:after="40"/>
      </w:pPr>
      <w:r>
        <w:rPr>
          <w:b/>
          <w:sz w:val="21"/>
          <w:shd w:fill="D6E4F0" w:val="clear"/>
        </w:rPr>
        <w:t>教材原句：</w:t>
      </w:r>
    </w:p>
    <w:p>
      <w:pPr>
        <w:spacing w:line="360" w:lineRule="auto" w:after="40"/>
        <w:ind w:firstLine="420"/>
      </w:pPr>
      <w:r>
        <w:t>"Both physical and online gaming are susceptible to certain financial crime risks."；"Financial crime has far-reaching social and economic consequences, undermining institutions, eroding public trust, and inflicting long-term economic harm."</w:t>
      </w:r>
    </w:p>
    <w:p>
      <w:pPr>
        <w:spacing w:before="120" w:after="40"/>
      </w:pPr>
      <w:r>
        <w:rPr>
          <w:b/>
          <w:sz w:val="21"/>
          <w:shd w:fill="D6E4F0" w:val="clear"/>
        </w:rPr>
        <w:t>B项错误：</w:t>
      </w:r>
    </w:p>
    <w:p>
      <w:pPr>
        <w:spacing w:line="360" w:lineRule="auto" w:after="40"/>
        <w:ind w:firstLine="420"/>
      </w:pPr>
      <w:r>
        <w:t>教材确实把“监管环境碎片化”列为游戏行业的风险因素</w:t>
      </w:r>
      <w:r>
        <w:rPr>
          <w:sz w:val="15"/>
          <w:vertAlign w:val="superscript"/>
        </w:rPr>
        <w:t>P120</w:t>
      </w:r>
      <w:r>
        <w:t>，但这说明风险为何可能上升，不是题干所问的巨大成本属于哪一类后果。“政治与监管”不能替代教材明确使用的“经济与社会”后果分类。</w:t>
      </w:r>
    </w:p>
    <w:p>
      <w:pPr>
        <w:spacing w:before="120" w:after="40"/>
      </w:pPr>
      <w:r>
        <w:rPr>
          <w:b/>
          <w:sz w:val="21"/>
          <w:shd w:fill="D6E4F0" w:val="clear"/>
        </w:rPr>
        <w:t>C项错误：</w:t>
      </w:r>
    </w:p>
    <w:p>
      <w:pPr>
        <w:spacing w:line="360" w:lineRule="auto" w:after="40"/>
        <w:ind w:firstLine="420"/>
      </w:pPr>
      <w:r>
        <w:t>“治理与合规”属于预防、控制和应对金融犯罪风险的制度安排，不是风险实现后对外造成的结果。题干问的是除个人伤害之外的更广泛成本，教材对应的是经济损害和负面社会后果（P42—43）。</w:t>
      </w:r>
    </w:p>
    <w:p>
      <w:pPr>
        <w:spacing w:before="120" w:after="40"/>
      </w:pPr>
      <w:r>
        <w:rPr>
          <w:b/>
          <w:sz w:val="21"/>
          <w:shd w:fill="D6E4F0" w:val="clear"/>
        </w:rPr>
        <w:t>D项错误：</w:t>
      </w:r>
    </w:p>
    <w:p>
      <w:pPr>
        <w:spacing w:line="360" w:lineRule="auto" w:after="40"/>
        <w:ind w:firstLine="420"/>
      </w:pPr>
      <w:r>
        <w:t>跨境活动、不同行业或司法管辖区可能影响风险暴露及监管难度，教材也把跨境性质列为游戏行业风险因素</w:t>
      </w:r>
      <w:r>
        <w:rPr>
          <w:sz w:val="15"/>
          <w:vertAlign w:val="superscript"/>
        </w:rPr>
        <w:t>P120</w:t>
      </w:r>
      <w:r>
        <w:t>；但“行业和司法管辖区方面”描述的是风险发生的行业或监管边界，并非题干所问的成本类型。</w:t>
      </w:r>
    </w:p>
    <w:p>
      <w:pPr>
        <w:spacing w:before="120" w:after="40"/>
      </w:pPr>
      <w:r>
        <w:rPr>
          <w:b/>
          <w:sz w:val="21"/>
          <w:shd w:fill="D6E4F0" w:val="clear"/>
        </w:rPr>
        <w:t>易错提醒：</w:t>
      </w:r>
    </w:p>
    <w:p>
      <w:pPr>
        <w:spacing w:line="360" w:lineRule="auto" w:after="40"/>
        <w:ind w:firstLine="420"/>
      </w:pPr>
      <w:r>
        <w:t>区分风险成因、治理措施和结果后果：监管碎片化、跨境活动属于风险因素，治理与合规属于应对措施；题干所问的“巨大成本”是风险实现后的结果，教材明确对应经济与社会后果。另需注意，在线游戏“易受金融犯罪风险影响”不等于在线游戏本身就是金融犯罪。</w:t>
      </w:r>
    </w:p>
    <w:p>
      <w:pPr>
        <w:spacing w:line="360" w:lineRule="auto" w:after="120"/>
      </w:pPr>
      <w:r/>
    </w:p>
    <w:p>
      <w:pPr>
        <w:spacing w:line="360" w:lineRule="auto" w:after="40"/>
      </w:pPr>
      <w:r>
        <w:t>7. 一家赌场的合规部门正在审查近期的交易，并已发现了一些可能需要进一步调查的活动。哪笔交易需要进一步调查？</w:t>
      </w:r>
      <w:r>
        <w:br/>
      </w:r>
      <w:r>
        <w:t>The compliance department of a casino is reviewing recent transactions and has identified activities that may require further scrutiny. Which transaction would require further investigation?</w:t>
      </w:r>
    </w:p>
    <w:p>
      <w:pPr>
        <w:spacing w:line="360" w:lineRule="auto" w:after="20"/>
      </w:pPr>
      <w:r>
        <w:t>A.一位常去赌场的赌客，每次存入少量现金，却总是要求将赢来的钱换成大额支票提现</w:t>
      </w:r>
      <w:r>
        <w:br/>
      </w:r>
      <w:r>
        <w:t>A patron who regularly visits the casino, deposits small amounts of cash, and consistently requests to cash out winnings in high-value checks</w:t>
      </w:r>
    </w:p>
    <w:p>
      <w:pPr>
        <w:spacing w:line="360" w:lineRule="auto" w:after="20"/>
      </w:pPr>
      <w:r>
        <w:t>B.一群游客用信用卡购买筹码，参与高额赌局，然后套现</w:t>
      </w:r>
      <w:r>
        <w:br/>
      </w:r>
      <w:r>
        <w:t>A group of tourists who buy chips with credit cards and engage in high-stakes games before cashing out</w:t>
      </w:r>
    </w:p>
    <w:p>
      <w:pPr>
        <w:spacing w:line="360" w:lineRule="auto" w:after="20"/>
      </w:pPr>
      <w:r>
        <w:t>C.一名玩家使用现金和从国际账户通过电汇转入的5万美元购买筹码，但并未参与赌博，随后将筹码全部提现</w:t>
      </w:r>
      <w:r>
        <w:br/>
      </w:r>
      <w:r>
        <w:t>A player who purchases USD 50,000 in chips using a combination of cash and a wire transfer from an international account, does not gamble, and then cashes out</w:t>
      </w:r>
    </w:p>
    <w:p>
      <w:pPr>
        <w:spacing w:line="360" w:lineRule="auto" w:after="20"/>
      </w:pPr>
      <w:r>
        <w:t>D.偶尔光顾的玩家，使用与国外账户关联的预付借记卡玩低注额的游戏</w:t>
      </w:r>
      <w:r>
        <w:br/>
      </w:r>
      <w:r>
        <w:t>An occasional visitor who plays low-stakes games using a prepaid debit card linked to a foreign account</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比较赌场交易风险信号并识别应优先调查的筹码兑现模式</w:t>
      </w:r>
    </w:p>
    <w:p>
      <w:pPr>
        <w:spacing w:before="120" w:after="40"/>
      </w:pPr>
      <w:r>
        <w:rPr>
          <w:b/>
          <w:sz w:val="21"/>
          <w:shd w:fill="D6E4F0" w:val="clear"/>
        </w:rPr>
        <w:t>核心解析：</w:t>
      </w:r>
    </w:p>
    <w:p>
      <w:pPr>
        <w:spacing w:line="360" w:lineRule="auto" w:after="40"/>
        <w:ind w:firstLine="420"/>
      </w:pPr>
      <w:r>
        <w:t>教材描述的赌场洗钱方式包括：用非法资金购买筹码，短暂赌博后兑现；赌场和在线博彩运营商也可能面临客户将非法资金转换为筹码、仅进行极少量游戏的风险</w:t>
      </w:r>
      <w:r>
        <w:rPr>
          <w:sz w:val="15"/>
          <w:vertAlign w:val="superscript"/>
        </w:rPr>
        <w:t>P120</w:t>
      </w:r>
      <w:r>
        <w:t>。选项C中，玩家用现金和国际账户电汇转入的资金购买5万美元筹码，完全没有赌博便将筹码全部兑现。在给定选项中，这种</w:t>
      </w:r>
      <w:r>
        <w:rPr>
          <w:b/>
        </w:rPr>
        <w:t>“大额购入筹码—没有实际游戏—全部兑现”</w:t>
      </w:r>
      <w:r>
        <w:t>的组合与教材所述风险模式最直接匹配，因此C是风险信号最集中的交易。</w:t>
      </w:r>
    </w:p>
    <w:p>
      <w:pPr>
        <w:spacing w:line="360" w:lineRule="auto" w:after="40"/>
        <w:ind w:firstLine="420"/>
      </w:pPr>
      <w:r>
        <w:t>这里的判断是风险匹配，而不是预先认定该玩家的资金一定属于非法所得。现金与国际电汇并用增加了交易背景的复杂性，但决定C优先级的核心事实是购买大量筹码后完全不赌博并全部兑现。</w:t>
      </w:r>
    </w:p>
    <w:p>
      <w:pPr>
        <w:spacing w:before="120" w:after="40"/>
      </w:pPr>
      <w:r>
        <w:rPr>
          <w:b/>
          <w:sz w:val="21"/>
          <w:shd w:fill="D6E4F0" w:val="clear"/>
        </w:rPr>
        <w:t>教材原句：</w:t>
      </w:r>
    </w:p>
    <w:p>
      <w:pPr>
        <w:spacing w:line="360" w:lineRule="auto" w:after="40"/>
        <w:ind w:firstLine="420"/>
      </w:pPr>
      <w:r>
        <w:t>"Criminals can anonymously purchase chips with illicit funds, gamble briefly, and cash out, effectively "cleaning" their money."</w:t>
      </w:r>
    </w:p>
    <w:p>
      <w:pPr>
        <w:spacing w:before="120" w:after="40"/>
      </w:pPr>
      <w:r>
        <w:rPr>
          <w:b/>
          <w:sz w:val="21"/>
          <w:shd w:fill="D6E4F0" w:val="clear"/>
        </w:rPr>
        <w:t>A项错误：A同样具有调查价值：</w:t>
      </w:r>
    </w:p>
    <w:p>
      <w:pPr>
        <w:spacing w:line="360" w:lineRule="auto" w:after="40"/>
        <w:ind w:firstLine="420"/>
      </w:pPr>
      <w:r>
        <w:t>少量现金投入却持续以大额支票兑现，其金额关系和重复模式需要核实；教材要求审查同一客户的过往交易模式</w:t>
      </w:r>
      <w:r>
        <w:rPr>
          <w:sz w:val="15"/>
          <w:vertAlign w:val="superscript"/>
        </w:rPr>
        <w:t>P337</w:t>
      </w:r>
      <w:r>
        <w:t>。但与C相比，A没有明确显示完全不赌博或仅进行形式性赌博，因此与教材“筹码转换后极少游戏即兑现”的直接匹配程度较低</w:t>
      </w:r>
      <w:r>
        <w:rPr>
          <w:sz w:val="15"/>
          <w:vertAlign w:val="superscript"/>
        </w:rPr>
        <w:t>P120</w:t>
      </w:r>
      <w:r>
        <w:t>。按题干原文，A不能被视为当然正常，只是C的风险信号更集中。</w:t>
      </w:r>
    </w:p>
    <w:p>
      <w:pPr>
        <w:spacing w:before="120" w:after="40"/>
      </w:pPr>
      <w:r>
        <w:rPr>
          <w:b/>
          <w:sz w:val="21"/>
          <w:shd w:fill="D6E4F0" w:val="clear"/>
        </w:rPr>
        <w:t>B项错误：</w:t>
      </w:r>
    </w:p>
    <w:p>
      <w:pPr>
        <w:spacing w:line="360" w:lineRule="auto" w:after="40"/>
        <w:ind w:firstLine="420"/>
      </w:pPr>
      <w:r>
        <w:t>信用卡账户可能被用于洗钱的离析和融合阶段</w:t>
      </w:r>
      <w:r>
        <w:rPr>
          <w:sz w:val="15"/>
          <w:vertAlign w:val="superscript"/>
        </w:rPr>
        <w:t>P69</w:t>
      </w:r>
      <w:r>
        <w:t>，因此使用信用卡并不当然代表交易正常。不过B中的游客实际参与了高额赌局，题干没有显示筹码购买和兑现缺少博彩目的；相比之下，C完全没有赌博行为，更直接符合本题所考查的筹码转换风险模式</w:t>
      </w:r>
      <w:r>
        <w:rPr>
          <w:sz w:val="15"/>
          <w:vertAlign w:val="superscript"/>
        </w:rPr>
        <w:t>P120</w:t>
      </w:r>
      <w:r>
        <w:t>。</w:t>
      </w:r>
    </w:p>
    <w:p>
      <w:pPr>
        <w:spacing w:before="120" w:after="40"/>
      </w:pPr>
      <w:r>
        <w:rPr>
          <w:b/>
          <w:sz w:val="21"/>
          <w:shd w:fill="D6E4F0" w:val="clear"/>
        </w:rPr>
        <w:t>D项错误：</w:t>
      </w:r>
    </w:p>
    <w:p>
      <w:pPr>
        <w:spacing w:line="360" w:lineRule="auto" w:after="40"/>
        <w:ind w:firstLine="420"/>
      </w:pPr>
      <w:r>
        <w:t>教材指出，预付卡的可转让性可能带来较高洗钱风险，匿名购买、充值和较低的KYC要求也可能使其受到滥用</w:t>
      </w:r>
      <w:r>
        <w:rPr>
          <w:sz w:val="15"/>
          <w:vertAlign w:val="superscript"/>
        </w:rPr>
        <w:t>P68</w:t>
      </w:r>
      <w:r>
        <w:t>。但教材同时区分预付卡与借记卡，指出预付卡“不与银行账户关联”</w:t>
      </w:r>
      <w:r>
        <w:rPr>
          <w:sz w:val="15"/>
          <w:vertAlign w:val="superscript"/>
        </w:rPr>
        <w:t>P68</w:t>
      </w:r>
      <w:r>
        <w:t>；因此D中“预付借记卡”与“关联国外账户”的表述本身不严谨。即使按预付卡理解，D只描述低注额游戏，没有出现C所示的大额购入筹码后不赌博即全部兑现，风险信号不如C集中。</w:t>
      </w:r>
    </w:p>
    <w:p>
      <w:pPr>
        <w:spacing w:before="120" w:after="40"/>
      </w:pPr>
      <w:r>
        <w:rPr>
          <w:b/>
          <w:sz w:val="21"/>
          <w:shd w:fill="D6E4F0" w:val="clear"/>
        </w:rPr>
        <w:t>易错提醒：</w:t>
      </w:r>
    </w:p>
    <w:p>
      <w:pPr>
        <w:spacing w:line="360" w:lineRule="auto" w:after="40"/>
        <w:ind w:firstLine="420"/>
      </w:pPr>
      <w:r>
        <w:t>“具有调查价值”不等于“在单选题中最符合”。A的重复大额支票兑现同样需要结合交易历史、赌博记录和资金来源核实</w:t>
      </w:r>
      <w:r>
        <w:rPr>
          <w:sz w:val="15"/>
          <w:vertAlign w:val="superscript"/>
        </w:rPr>
        <w:t>P337</w:t>
      </w:r>
      <w:r>
        <w:t>；D的预付卡风险也不能因金额较小而完全排除</w:t>
      </w:r>
      <w:r>
        <w:rPr>
          <w:sz w:val="15"/>
          <w:vertAlign w:val="superscript"/>
        </w:rPr>
        <w:t>P68</w:t>
      </w:r>
      <w:r>
        <w:t>。C之所以更符合，是因为“大额购入筹码、完全不赌博、全部兑现”同时出现，与教材描述的赌场筹码转换风险模式最直接匹配</w:t>
      </w:r>
      <w:r>
        <w:rPr>
          <w:sz w:val="15"/>
          <w:vertAlign w:val="superscript"/>
        </w:rPr>
        <w:t>P120</w:t>
      </w:r>
      <w:r>
        <w:t>。若按“需要进一步调查”的字面理解，A也可能需要调查；因此C应理解为给定选项中风险信号最集中、最应优先关注的选项。</w:t>
      </w:r>
    </w:p>
    <w:p>
      <w:pPr>
        <w:spacing w:line="360" w:lineRule="auto" w:after="120"/>
      </w:pPr>
      <w:r/>
    </w:p>
    <w:p>
      <w:pPr>
        <w:spacing w:line="360" w:lineRule="auto" w:after="40"/>
      </w:pPr>
      <w:r>
        <w:t>8. 一位房地产买家在短时间内通过一系列交易用现金购买了多处高价值房产,且没有任何明确的经济理由.以下哪一项是房地产领域中这种行为最有可能涉及的洗钱风险？</w:t>
      </w:r>
      <w:r>
        <w:br/>
      </w:r>
      <w:r>
        <w:t>A real estate buyer purchases multiple high-value properties in cash through a series of transactions in a short period of time and without any clear economic justification. Which of the following is the most likely money laundering risk associated with this behavior in the real estate sector?</w:t>
      </w:r>
    </w:p>
    <w:p>
      <w:pPr>
        <w:spacing w:line="360" w:lineRule="auto" w:after="20"/>
      </w:pPr>
      <w:r>
        <w:t>A.买方正在利用高价值的房地产交易来掩盖资金来源</w:t>
      </w:r>
      <w:r>
        <w:br/>
      </w:r>
      <w:r>
        <w:t>The buyer is using high-value real estate transactions to obscure the origin of the funds</w:t>
      </w:r>
    </w:p>
    <w:p>
      <w:pPr>
        <w:spacing w:line="360" w:lineRule="auto" w:after="20"/>
      </w:pPr>
      <w:r>
        <w:t>B.买方正通过安排付款方式迅速实现其投资组合的多元化,以利用房地产现金交易的流动性.</w:t>
      </w:r>
      <w:r>
        <w:br/>
      </w:r>
      <w:r>
        <w:t>The buyer is quickly diversifying their investment portfolio through structuring payments in order to take advantage of the liquidity of cash transactions in real estate</w:t>
      </w:r>
    </w:p>
    <w:p>
      <w:pPr>
        <w:spacing w:line="360" w:lineRule="auto" w:after="20"/>
      </w:pPr>
      <w:r>
        <w:t>C.买方利用有利的市场条件,通过现金购买的方式,在竞争激烈的房地产市场中击败竞争对手.</w:t>
      </w:r>
      <w:r>
        <w:br/>
      </w:r>
      <w:r>
        <w:t>The buyer is capitalizing on favorable market conditions and using cash purchases to outbid competitors in a competitive real estate market</w:t>
      </w:r>
    </w:p>
    <w:p>
      <w:pPr>
        <w:spacing w:line="360" w:lineRule="auto" w:after="20"/>
      </w:pPr>
      <w:r>
        <w:t>D.买方是一家房地产开发商,正与位于高风险司法管辖区的业务伙伴一起收购多处房产,以用于潜在的再开发项目.</w:t>
      </w:r>
      <w:r>
        <w:br/>
      </w:r>
      <w:r>
        <w:t>The buyer is a real estate developer acquiring multiple properties with business partners located in high-risk jurisdictions for potential redevelopment projects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识别利用高价值房地产交易掩饰资金来源的洗钱风险</w:t>
      </w:r>
    </w:p>
    <w:p>
      <w:pPr>
        <w:spacing w:before="120" w:after="40"/>
      </w:pPr>
      <w:r>
        <w:rPr>
          <w:b/>
          <w:sz w:val="21"/>
          <w:shd w:fill="D6E4F0" w:val="clear"/>
        </w:rPr>
        <w:t>核心解析：</w:t>
      </w:r>
    </w:p>
    <w:p>
      <w:pPr>
        <w:spacing w:line="360" w:lineRule="auto" w:after="40"/>
        <w:ind w:firstLine="420"/>
      </w:pPr>
      <w:r>
        <w:t>选项A的含义是“买方利用高价值房地产交易掩饰资金来源”。房地产可被用于购买高价值有形资产，将非法资金融入合法经济；房地产交易也为</w:t>
      </w:r>
      <w:r>
        <w:rPr>
          <w:b/>
        </w:rPr>
        <w:t>掩饰资金来源</w:t>
      </w:r>
      <w:r>
        <w:t>提供机会</w:t>
      </w:r>
      <w:r>
        <w:rPr>
          <w:sz w:val="15"/>
          <w:vertAlign w:val="superscript"/>
        </w:rPr>
        <w:t>P121</w:t>
      </w:r>
      <w:r>
        <w:t>。题干同时给出现金支付、短期内连续交易和缺乏明确经济理由：现金较通过金融机构支付更难追踪，全部或主要以现金购房属于红旗信号，一系列快速房地产交易也应引起怀疑</w:t>
      </w:r>
      <w:r>
        <w:rPr>
          <w:sz w:val="15"/>
          <w:vertAlign w:val="superscript"/>
        </w:rPr>
        <w:t>P122</w:t>
      </w:r>
      <w:r>
        <w:t>。这些事实共同指向选项A所述的资金来源掩饰风险。</w:t>
      </w:r>
    </w:p>
    <w:p>
      <w:pPr>
        <w:spacing w:before="120" w:after="40"/>
      </w:pPr>
      <w:r>
        <w:rPr>
          <w:b/>
          <w:sz w:val="21"/>
          <w:shd w:fill="D6E4F0" w:val="clear"/>
        </w:rPr>
        <w:t>教材原句：</w:t>
      </w:r>
    </w:p>
    <w:p>
      <w:pPr>
        <w:spacing w:line="360" w:lineRule="auto" w:after="40"/>
        <w:ind w:firstLine="420"/>
      </w:pPr>
      <w:r>
        <w:t>"Criminals can utilize real estate to integrate illicit funds into the legitimate economy by purchasing tangible assets, typically of significant value."</w:t>
      </w:r>
    </w:p>
    <w:p>
      <w:pPr>
        <w:spacing w:before="120" w:after="40"/>
      </w:pPr>
      <w:r>
        <w:rPr>
          <w:b/>
          <w:sz w:val="21"/>
          <w:shd w:fill="D6E4F0" w:val="clear"/>
        </w:rPr>
        <w:t>B项错误：</w:t>
      </w:r>
    </w:p>
    <w:p>
      <w:pPr>
        <w:spacing w:line="360" w:lineRule="auto" w:after="40"/>
        <w:ind w:firstLine="420"/>
      </w:pPr>
      <w:r>
        <w:t>“安排付款方式以实现投资组合多元化”描述的是一种投资策略，而不是对题干所示洗钱风险的解释。题干强调买方“无任何明确经济理由”，这也与有明确目的的投资组合多元化相矛盾。</w:t>
      </w:r>
    </w:p>
    <w:p>
      <w:pPr>
        <w:spacing w:before="120" w:after="40"/>
      </w:pPr>
      <w:r>
        <w:rPr>
          <w:b/>
          <w:sz w:val="21"/>
          <w:shd w:fill="D6E4F0" w:val="clear"/>
        </w:rPr>
        <w:t>C项错误：</w:t>
      </w:r>
    </w:p>
    <w:p>
      <w:pPr>
        <w:spacing w:line="360" w:lineRule="auto" w:after="40"/>
        <w:ind w:firstLine="420"/>
      </w:pPr>
      <w:r>
        <w:t>“利用有利市场条件”“现金购买”“击败竞争对手”这些短语描绘的是市场竞争中的交易策略，与洗钱语境基本不相关。洗钱关注的核心问题是资金来源是否合法、交易目的是否为掩盖非法来源。题干中现金购房的部分特征虽然在正常商业环境中也可能出现</w:t>
      </w:r>
      <w:r>
        <w:rPr>
          <w:sz w:val="15"/>
          <w:vertAlign w:val="superscript"/>
        </w:rPr>
        <w:t>P122</w:t>
      </w:r>
      <w:r>
        <w:t>，但本题需要判断的是洗钱风险，教材对洗钱的核心定义中并不涉及市场竞争或竞价行为。</w:t>
      </w:r>
    </w:p>
    <w:p>
      <w:pPr>
        <w:spacing w:before="120" w:after="40"/>
      </w:pPr>
      <w:r>
        <w:rPr>
          <w:b/>
          <w:sz w:val="21"/>
          <w:shd w:fill="D6E4F0" w:val="clear"/>
        </w:rPr>
        <w:t>D项错误：</w:t>
      </w:r>
    </w:p>
    <w:p>
      <w:pPr>
        <w:spacing w:line="360" w:lineRule="auto" w:after="40"/>
        <w:ind w:firstLine="420"/>
      </w:pPr>
      <w:r>
        <w:t>题干没有说明买方是“房地产开发商”，也没有出现“高风险司法管辖区的业务伙伴”或再开发计划。D项另设了一组情景事实，不能解释题干已经给出的现金、高价值、短期连续购买且无明确经济理由；A项与这些既有事实的对应更直接。</w:t>
      </w:r>
    </w:p>
    <w:p>
      <w:pPr>
        <w:spacing w:before="120" w:after="40"/>
      </w:pPr>
      <w:r>
        <w:rPr>
          <w:b/>
          <w:sz w:val="21"/>
          <w:shd w:fill="D6E4F0" w:val="clear"/>
        </w:rPr>
        <w:t>易错提醒：</w:t>
      </w:r>
    </w:p>
    <w:p>
      <w:pPr>
        <w:spacing w:line="360" w:lineRule="auto" w:after="40"/>
        <w:ind w:firstLine="420"/>
      </w:pPr>
      <w:r>
        <w:t>现金购房本身不是洗钱的充分证明，但“主要使用现金”与“短期内一系列快速交易”均属于教材提示的风险特征</w:t>
      </w:r>
      <w:r>
        <w:rPr>
          <w:sz w:val="15"/>
          <w:vertAlign w:val="superscript"/>
        </w:rPr>
        <w:t>P122</w:t>
      </w:r>
      <w:r>
        <w:t>。本题还叠加了高价值和缺乏明确经济理由，因此应判断最可能涉及的风险，而不是把任一单项特征当作定罪结论。</w:t>
      </w:r>
    </w:p>
    <w:p>
      <w:pPr>
        <w:spacing w:line="360" w:lineRule="auto" w:after="120"/>
      </w:pPr>
      <w:r/>
    </w:p>
    <w:p>
      <w:pPr>
        <w:spacing w:line="360" w:lineRule="auto" w:after="40"/>
      </w:pPr>
      <w:r>
        <w:t>9. 当信托和公司服务提供商（TCSP）与高风险国家有关联时，以下哪一项可能会立即引发金融犯罪风险关注？</w:t>
      </w:r>
      <w:r>
        <w:br/>
      </w:r>
      <w:r>
        <w:t>When services are provided by a trust and company service provider (TCSP) connected to a high-risk country, which of the following may present an immediate financial crime risk concern?</w:t>
      </w:r>
    </w:p>
    <w:p>
      <w:pPr>
        <w:spacing w:line="360" w:lineRule="auto" w:after="20"/>
      </w:pPr>
      <w:r>
        <w:t>A.管理结构</w:t>
      </w:r>
      <w:r>
        <w:br/>
      </w:r>
      <w:r>
        <w:t>Management structure</w:t>
      </w:r>
    </w:p>
    <w:p>
      <w:pPr>
        <w:spacing w:line="360" w:lineRule="auto" w:after="20"/>
      </w:pPr>
      <w:r>
        <w:t>B.治理框架</w:t>
      </w:r>
      <w:r>
        <w:br/>
      </w:r>
      <w:r>
        <w:t>Governance framework</w:t>
      </w:r>
    </w:p>
    <w:p>
      <w:pPr>
        <w:spacing w:line="360" w:lineRule="auto" w:after="20"/>
      </w:pPr>
      <w:r>
        <w:t>C.资产结构</w:t>
      </w:r>
      <w:r>
        <w:br/>
      </w:r>
      <w:r>
        <w:t>Asset structure</w:t>
      </w:r>
    </w:p>
    <w:p>
      <w:pPr>
        <w:spacing w:line="360" w:lineRule="auto" w:after="20"/>
      </w:pPr>
      <w:r>
        <w:t>D.资金来源</w:t>
      </w:r>
      <w:r>
        <w:br/>
      </w:r>
      <w:r>
        <w:t>Origin of the funds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高风险司法管辖区背景下TCSP的资金来源风险</w:t>
      </w:r>
    </w:p>
    <w:p>
      <w:pPr>
        <w:spacing w:before="120" w:after="40"/>
      </w:pPr>
      <w:r>
        <w:rPr>
          <w:b/>
          <w:sz w:val="21"/>
          <w:shd w:fill="D6E4F0" w:val="clear"/>
        </w:rPr>
        <w:t>核心解析：</w:t>
      </w:r>
    </w:p>
    <w:p>
      <w:pPr>
        <w:spacing w:line="360" w:lineRule="auto" w:after="40"/>
        <w:ind w:firstLine="420"/>
      </w:pPr>
      <w:r>
        <w:t>信托与公司服务提供商（TCSP）设立的结构会</w:t>
      </w:r>
      <w:r>
        <w:rPr>
          <w:b/>
        </w:rPr>
        <w:t>掩盖受益所有人和资金来源</w:t>
      </w:r>
      <w:r>
        <w:t>（obscure beneficial ownership and the origin of funds）</w:t>
      </w:r>
      <w:r>
        <w:rPr>
          <w:sz w:val="15"/>
          <w:vertAlign w:val="superscript"/>
        </w:rPr>
        <w:t>P120</w:t>
      </w:r>
      <w:r>
        <w:t>，并可能被犯罪分子用于安排交易，以“伪装非法资金的来源”（disguise the origin of illicit funds）</w:t>
      </w:r>
      <w:r>
        <w:rPr>
          <w:sz w:val="15"/>
          <w:vertAlign w:val="superscript"/>
        </w:rPr>
        <w:t>P126</w:t>
      </w:r>
      <w:r>
        <w:t>。客户来自或经营于FATF灰黑名单等高风险司法管辖区，也会提高核查的必要性</w:t>
      </w:r>
      <w:r>
        <w:rPr>
          <w:sz w:val="15"/>
          <w:vertAlign w:val="superscript"/>
        </w:rPr>
        <w:t>P307</w:t>
      </w:r>
      <w:r>
        <w:t>。不过，高风险司法管辖区关联并不表示资金已经属于非法所得。在四个选项中，D项“资金来源”与教材描述TCSP风险时使用的“origin of funds”直接对应，最可能立即引发金融犯罪风险关注。</w:t>
      </w:r>
    </w:p>
    <w:p>
      <w:pPr>
        <w:spacing w:before="120" w:after="40"/>
      </w:pPr>
      <w:r>
        <w:rPr>
          <w:b/>
          <w:sz w:val="21"/>
          <w:shd w:fill="D6E4F0" w:val="clear"/>
        </w:rPr>
        <w:t>教材原句：</w:t>
      </w:r>
    </w:p>
    <w:p>
      <w:pPr>
        <w:spacing w:line="360" w:lineRule="auto" w:after="40"/>
        <w:ind w:firstLine="420"/>
      </w:pPr>
      <w:r>
        <w:t>"Trust or company service providers: These providers create structures that obscure beneficial ownership and the origin of funds, making them attractive to individuals seeking to launder money."</w:t>
      </w:r>
    </w:p>
    <w:p>
      <w:pPr>
        <w:spacing w:before="120" w:after="40"/>
      </w:pPr>
      <w:r>
        <w:rPr>
          <w:b/>
          <w:sz w:val="21"/>
          <w:shd w:fill="D6E4F0" w:val="clear"/>
        </w:rPr>
        <w:t>A项错误：</w:t>
      </w:r>
    </w:p>
    <w:p>
      <w:pPr>
        <w:spacing w:line="360" w:lineRule="auto" w:after="40"/>
        <w:ind w:firstLine="420"/>
      </w:pPr>
      <w:r>
        <w:t>管理结构可能是一般性尽职调查的考察内容，但题干没有给出管理层复杂、异常或不透明等具体事实。相比之下，教材直接将TCSP与掩盖资金来源联系起来</w:t>
      </w:r>
      <w:r>
        <w:rPr>
          <w:sz w:val="15"/>
          <w:vertAlign w:val="superscript"/>
        </w:rPr>
        <w:t>P120</w:t>
      </w:r>
      <w:r>
        <w:t>，因此D项匹配度更高。</w:t>
      </w:r>
    </w:p>
    <w:p>
      <w:pPr>
        <w:spacing w:before="120" w:after="40"/>
      </w:pPr>
      <w:r>
        <w:rPr>
          <w:b/>
          <w:sz w:val="21"/>
          <w:shd w:fill="D6E4F0" w:val="clear"/>
        </w:rPr>
        <w:t>B项错误：</w:t>
      </w:r>
    </w:p>
    <w:p>
      <w:pPr>
        <w:spacing w:line="360" w:lineRule="auto" w:after="40"/>
        <w:ind w:firstLine="420"/>
      </w:pPr>
      <w:r>
        <w:t>治理框架可以影响机构的风险管理能力，但题干没有描述治理失效或控制缺陷。教材对TCSP被滥用方式的直接描述指向资金来源</w:t>
      </w:r>
      <w:r>
        <w:rPr>
          <w:sz w:val="15"/>
          <w:vertAlign w:val="superscript"/>
        </w:rPr>
        <w:t>P120、P126</w:t>
      </w:r>
      <w:r>
        <w:t>，而不是一般性的治理框架。</w:t>
      </w:r>
    </w:p>
    <w:p>
      <w:pPr>
        <w:spacing w:before="120" w:after="40"/>
      </w:pPr>
      <w:r>
        <w:rPr>
          <w:b/>
          <w:sz w:val="21"/>
          <w:shd w:fill="D6E4F0" w:val="clear"/>
        </w:rPr>
        <w:t>C项错误：</w:t>
      </w:r>
    </w:p>
    <w:p>
      <w:pPr>
        <w:spacing w:line="360" w:lineRule="auto" w:after="40"/>
        <w:ind w:firstLine="420"/>
      </w:pPr>
      <w:r>
        <w:t>教材确实提到TCSP可能被用于掩盖资产的真实所有权</w:t>
      </w:r>
      <w:r>
        <w:rPr>
          <w:sz w:val="15"/>
          <w:vertAlign w:val="superscript"/>
        </w:rPr>
        <w:t>P126</w:t>
      </w:r>
      <w:r>
        <w:t>，所以资产方面并非完全无关；但“资产结构”不等于“资产的真实所有权”，也不如D项“资金来源”与教材原文直接对应。</w:t>
      </w:r>
    </w:p>
    <w:p>
      <w:pPr>
        <w:spacing w:before="120" w:after="40"/>
      </w:pPr>
      <w:r>
        <w:rPr>
          <w:b/>
          <w:sz w:val="21"/>
          <w:shd w:fill="D6E4F0" w:val="clear"/>
        </w:rPr>
        <w:t>易错提醒：</w:t>
      </w:r>
    </w:p>
    <w:p>
      <w:pPr>
        <w:spacing w:line="360" w:lineRule="auto" w:after="40"/>
        <w:ind w:firstLine="420"/>
      </w:pPr>
      <w:r>
        <w:t>高风险司法管辖区关联是风险因素，不是资金违法性质的证明。讨论的是客户来自或经营于高风险司法管辖区的风险评估</w:t>
      </w:r>
      <w:r>
        <w:rPr>
          <w:sz w:val="15"/>
          <w:vertAlign w:val="superscript"/>
        </w:rPr>
        <w:t>P307</w:t>
      </w:r>
      <w:r>
        <w:t>，只能作为本题的一般地域风险背景；选择D项的直接依据仍是教材对TCSP可能掩盖“资金来源”的描述</w:t>
      </w:r>
      <w:r>
        <w:rPr>
          <w:sz w:val="15"/>
          <w:vertAlign w:val="superscript"/>
        </w:rPr>
        <w:t>P120</w:t>
      </w:r>
      <w:r>
        <w:t>。</w:t>
      </w:r>
    </w:p>
    <w:p>
      <w:pPr>
        <w:spacing w:line="360" w:lineRule="auto" w:after="120"/>
      </w:pPr>
      <w:r/>
    </w:p>
    <w:p>
      <w:pPr>
        <w:spacing w:line="360" w:lineRule="auto" w:after="40"/>
      </w:pPr>
      <w:r>
        <w:t>10. 一家为各类企业提供多种服务的信托和公司服务提供商接到了一位客户的要求,该客户有意成立一家新公司.客户请求协助办理公司注册手续,提供本地办公地址,以及提供年度维护服务,并指定人员担任新公司的正式职务.以下哪项服务涉及更高的洗钱风险？</w:t>
      </w:r>
      <w:r>
        <w:br/>
      </w:r>
      <w:r>
        <w:t>A trust and company services provider that offers a variety of services to businesses is approached by a client interested in establishing a new company. The client requests assistance with the incorporation process, a local business address, annual maintenance services, and the designation of individuals to serve in official capacities for the new company. Which of the following services involves a higher money laundering risk?</w:t>
      </w:r>
    </w:p>
    <w:p>
      <w:pPr>
        <w:spacing w:line="360" w:lineRule="auto" w:after="20"/>
      </w:pPr>
      <w:r>
        <w:t>A.任命个人担任公司的官方职务</w:t>
      </w:r>
      <w:r>
        <w:br/>
      </w:r>
      <w:r>
        <w:t>Appointing individuals to serve in official capacities of the company</w:t>
      </w:r>
    </w:p>
    <w:p>
      <w:pPr>
        <w:spacing w:line="360" w:lineRule="auto" w:after="20"/>
      </w:pPr>
      <w:r>
        <w:t>B.年度维护服务</w:t>
      </w:r>
      <w:r>
        <w:br/>
      </w:r>
      <w:r>
        <w:t>Annual maintenance services</w:t>
      </w:r>
    </w:p>
    <w:p>
      <w:pPr>
        <w:spacing w:line="360" w:lineRule="auto" w:after="20"/>
      </w:pPr>
      <w:r>
        <w:t>C.提供本地营业地址</w:t>
      </w:r>
      <w:r>
        <w:br/>
      </w:r>
      <w:r>
        <w:t>Provision of a local business address</w:t>
      </w:r>
    </w:p>
    <w:p>
      <w:pPr>
        <w:spacing w:line="360" w:lineRule="auto" w:after="20"/>
      </w:pPr>
      <w:r>
        <w:t>D.公司注册服务</w:t>
      </w:r>
      <w:r>
        <w:br/>
      </w:r>
      <w:r>
        <w:t>Company incorporation services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识别名义服务利用第三方隐藏受益所有人身份的高洗钱风险</w:t>
      </w:r>
    </w:p>
    <w:p>
      <w:pPr>
        <w:spacing w:before="120" w:after="40"/>
      </w:pPr>
      <w:r>
        <w:rPr>
          <w:b/>
          <w:sz w:val="21"/>
          <w:shd w:fill="D6E4F0" w:val="clear"/>
        </w:rPr>
        <w:t>核心解析：</w:t>
      </w:r>
    </w:p>
    <w:p>
      <w:pPr>
        <w:spacing w:line="360" w:lineRule="auto" w:after="40"/>
        <w:ind w:firstLine="420"/>
      </w:pPr>
      <w:r>
        <w:t>信托与公司服务提供商（TCSP）常提供</w:t>
      </w:r>
      <w:r>
        <w:rPr>
          <w:b/>
        </w:rPr>
        <w:t>名义服务</w:t>
      </w:r>
      <w:r>
        <w:t>（nominee services），即由第三方代表客户在所有权和管理角色中担任董事、高管或股东</w:t>
      </w:r>
      <w:r>
        <w:rPr>
          <w:sz w:val="15"/>
          <w:vertAlign w:val="superscript"/>
        </w:rPr>
        <w:t>P127</w:t>
      </w:r>
      <w:r>
        <w:t>。名义董事或股东可被用于</w:t>
      </w:r>
      <w:r>
        <w:rPr>
          <w:b/>
        </w:rPr>
        <w:t>隐藏最终受益所有人（UBO）的身份</w:t>
      </w:r>
      <w:r>
        <w:t>，形成一层匿名性，从而通过模糊化手段增加洗钱风险</w:t>
      </w:r>
      <w:r>
        <w:rPr>
          <w:sz w:val="15"/>
          <w:vertAlign w:val="superscript"/>
        </w:rPr>
        <w:t>P127</w:t>
      </w:r>
      <w:r>
        <w:t>。题干中客户请求“指定人员担任新公司的法定职务”（designation of individuals to serve in official capacities），该服务本质即为提供名义董事或高管。相较于公司注册、地址提供、年度维护等常规行政服务，名义服务直接创造了一个可将真实控制人隐藏在法律文件背后的结构，这正是教材明确指出会“增加洗钱风险”的核心环节。由此可推断，四项服务中任命个人担任官方职务涉及更高的洗钱风险。</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B项错误：</w:t>
      </w:r>
    </w:p>
    <w:p>
      <w:pPr>
        <w:spacing w:line="360" w:lineRule="auto" w:after="40"/>
        <w:ind w:firstLine="420"/>
      </w:pPr>
      <w:r>
        <w:t>“年度维护服务”属于常规行政支持，本身不涉及隐藏所有权或控制人的安排。相比之下，A所述名义服务可能掩盖UBO身份</w:t>
      </w:r>
      <w:r>
        <w:rPr>
          <w:sz w:val="15"/>
          <w:vertAlign w:val="superscript"/>
        </w:rPr>
        <w:t>P127</w:t>
      </w:r>
      <w:r>
        <w:t>，洗钱风险更直接。</w:t>
      </w:r>
    </w:p>
    <w:p>
      <w:pPr>
        <w:spacing w:before="120" w:after="40"/>
      </w:pPr>
      <w:r>
        <w:rPr>
          <w:b/>
          <w:sz w:val="21"/>
          <w:shd w:fill="D6E4F0" w:val="clear"/>
        </w:rPr>
        <w:t>C项错误：</w:t>
      </w:r>
    </w:p>
    <w:p>
      <w:pPr>
        <w:spacing w:line="360" w:lineRule="auto" w:after="40"/>
        <w:ind w:firstLine="420"/>
      </w:pPr>
      <w:r>
        <w:t>“提供本地营业地址”属于公司注册流程中的基础联系信息安排，本身不涉及所有权或管理层的匿名化。相比之下，名义服务通过第三方担任董事、高管或股东，更可能隐藏UBO身份</w:t>
      </w:r>
      <w:r>
        <w:rPr>
          <w:sz w:val="15"/>
          <w:vertAlign w:val="superscript"/>
        </w:rPr>
        <w:t>P127</w:t>
      </w:r>
      <w:r>
        <w:t>。</w:t>
      </w:r>
    </w:p>
    <w:p>
      <w:pPr>
        <w:spacing w:before="120" w:after="40"/>
      </w:pPr>
      <w:r>
        <w:rPr>
          <w:b/>
          <w:sz w:val="21"/>
          <w:shd w:fill="D6E4F0" w:val="clear"/>
        </w:rPr>
        <w:t>D项错误：</w:t>
      </w:r>
    </w:p>
    <w:p>
      <w:pPr>
        <w:spacing w:line="360" w:lineRule="auto" w:after="40"/>
        <w:ind w:firstLine="420"/>
      </w:pPr>
      <w:r>
        <w:t>“公司注册服务”是TCSP的核心业务之一，教材虽提及犯罪分子可能利用TCSP掩盖真实所有权，但该表述指向的是整体行业风险，而非注册服务本身。相比之下，题干中“指定人员担任法定职务”精准对应教材对名义服务的定义及其直接增加洗钱风险的结论</w:t>
      </w:r>
      <w:r>
        <w:rPr>
          <w:sz w:val="15"/>
          <w:vertAlign w:val="superscript"/>
        </w:rPr>
        <w:t>P127</w:t>
      </w:r>
      <w:r>
        <w:t>，匹配度更直接。</w:t>
      </w:r>
    </w:p>
    <w:p>
      <w:pPr>
        <w:spacing w:before="120" w:after="40"/>
      </w:pPr>
      <w:r>
        <w:rPr>
          <w:b/>
          <w:sz w:val="21"/>
          <w:shd w:fill="D6E4F0" w:val="clear"/>
        </w:rPr>
        <w:t>易错提醒：</w:t>
      </w:r>
    </w:p>
    <w:p>
      <w:pPr>
        <w:spacing w:line="360" w:lineRule="auto" w:after="40"/>
        <w:ind w:firstLine="420"/>
      </w:pPr>
      <w:r>
        <w:t>注意区分“名义服务”与“现成公司”：名义服务是提供第三方代持董事或股东，现成公司是预注册公司出售给客户</w:t>
      </w:r>
      <w:r>
        <w:rPr>
          <w:sz w:val="15"/>
          <w:vertAlign w:val="superscript"/>
        </w:rPr>
        <w:t>P127</w:t>
      </w:r>
      <w:r>
        <w:t>。两者均可隐藏UBO，但题干场景明确是“指定人员担任法定职务”而非购买预注册公司。另外，名义安排本身在部分地区合法，但其洗钱风险显著高于其他行政服务——判断依据是教材是否将其标注为“增加洗钱风险”</w:t>
      </w:r>
      <w:r>
        <w:rPr>
          <w:sz w:val="15"/>
          <w:vertAlign w:val="superscript"/>
        </w:rPr>
        <w:t>P127</w:t>
      </w:r>
      <w:r>
        <w:t>，而非该服务是否合法。</w:t>
      </w:r>
    </w:p>
    <w:p>
      <w:pPr>
        <w:spacing w:line="360" w:lineRule="auto" w:after="120"/>
      </w:pPr>
      <w:r/>
    </w:p>
    <w:p>
      <w:pPr>
        <w:spacing w:line="360" w:lineRule="auto" w:after="40"/>
      </w:pPr>
      <w:r>
        <w:t>11. 以下哪一项是赌场和赌博业特有的更广泛风险？</w:t>
      </w:r>
      <w:r>
        <w:br/>
      </w:r>
      <w:r>
        <w:t>Which of the following is a broader risk specific to casinos and gambling?</w:t>
      </w:r>
    </w:p>
    <w:p>
      <w:pPr>
        <w:spacing w:line="360" w:lineRule="auto" w:after="20"/>
      </w:pPr>
      <w:r>
        <w:t>A.交易阈值低</w:t>
      </w:r>
      <w:r>
        <w:br/>
      </w:r>
      <w:r>
        <w:t>Low thresholds for transactions</w:t>
      </w:r>
    </w:p>
    <w:p>
      <w:pPr>
        <w:spacing w:line="360" w:lineRule="auto" w:after="20"/>
      </w:pPr>
      <w:r>
        <w:t>B.跨境交易</w:t>
      </w:r>
      <w:r>
        <w:br/>
      </w:r>
      <w:r>
        <w:t>Cross-border transactions</w:t>
      </w:r>
    </w:p>
    <w:p>
      <w:pPr>
        <w:spacing w:line="360" w:lineRule="auto" w:after="20"/>
      </w:pPr>
      <w:r>
        <w:t>C.客户身份识别政策和程序薄弱</w:t>
      </w:r>
      <w:r>
        <w:br/>
      </w:r>
      <w:r>
        <w:t>Weak KYC policies and procedures</w:t>
      </w:r>
    </w:p>
    <w:p>
      <w:pPr>
        <w:spacing w:line="360" w:lineRule="auto" w:after="20"/>
      </w:pPr>
      <w:r>
        <w:t>D.频繁使用现金</w:t>
      </w:r>
      <w:r>
        <w:br/>
      </w:r>
      <w:r>
        <w:t>Frequent use of cash</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识别博彩业的行业级固有风险与场景性控制风险</w:t>
      </w:r>
    </w:p>
    <w:p>
      <w:pPr>
        <w:spacing w:before="120" w:after="40"/>
      </w:pPr>
      <w:r>
        <w:rPr>
          <w:b/>
          <w:sz w:val="21"/>
          <w:shd w:fill="D6E4F0" w:val="clear"/>
        </w:rPr>
        <w:t>核心解析：</w:t>
      </w:r>
    </w:p>
    <w:p>
      <w:pPr>
        <w:spacing w:line="360" w:lineRule="auto" w:after="40"/>
        <w:ind w:firstLine="420"/>
      </w:pPr>
      <w:r>
        <w:t>教材先将博彩业界定为包括实体和虚拟赌场、网络博彩及赌博活动，随后明确指出博彩业具有伴随较高金融犯罪风险的独特行业特征；紧接着列出的具体特征包括监管环境碎片化、活动的</w:t>
      </w:r>
      <w:r>
        <w:rPr>
          <w:b/>
        </w:rPr>
        <w:t>跨境性质</w:t>
      </w:r>
      <w:r>
        <w:t>和准金融服务</w:t>
      </w:r>
      <w:r>
        <w:rPr>
          <w:sz w:val="15"/>
          <w:vertAlign w:val="superscript"/>
        </w:rPr>
        <w:t>P120</w:t>
      </w:r>
      <w:r>
        <w:t>。题干询问的是赌场和赌博业“特有的更广泛风险”，B“跨境交易”直接对应这一</w:t>
      </w:r>
      <w:r>
        <w:rPr>
          <w:b/>
        </w:rPr>
        <w:t>行业级分类</w:t>
      </w:r>
      <w:r>
        <w:t>，因此在教材框架下选B。D是实体赌场的现金密集型风险，C则来自赌团运营商KYC资料收集与共享不足的特定场景</w:t>
      </w:r>
      <w:r>
        <w:rPr>
          <w:sz w:val="15"/>
          <w:vertAlign w:val="superscript"/>
        </w:rPr>
        <w:t>P121</w:t>
      </w:r>
      <w:r>
        <w:t>，二者虽有教材依据，但都不如B贴合题干所要求的博彩业整体层级。</w:t>
      </w:r>
    </w:p>
    <w:p>
      <w:pPr>
        <w:spacing w:before="120" w:after="40"/>
      </w:pPr>
      <w:r>
        <w:rPr>
          <w:b/>
          <w:sz w:val="21"/>
          <w:shd w:fill="D6E4F0" w:val="clear"/>
        </w:rPr>
        <w:t>A项错误：</w:t>
      </w:r>
    </w:p>
    <w:p>
      <w:pPr>
        <w:spacing w:line="360" w:lineRule="auto" w:after="40"/>
        <w:ind w:firstLine="420"/>
      </w:pPr>
      <w:r>
        <w:t>教材讨论的是利用第三方和多笔交易进行结构化，以规避报告门槛</w:t>
      </w:r>
      <w:r>
        <w:rPr>
          <w:sz w:val="15"/>
          <w:vertAlign w:val="superscript"/>
        </w:rPr>
        <w:t>P121</w:t>
      </w:r>
      <w:r>
        <w:t>，并不是“交易门槛低”这一属性。A没有对应教材描述的风险机制。</w:t>
      </w:r>
    </w:p>
    <w:p>
      <w:pPr>
        <w:spacing w:before="120" w:after="40"/>
      </w:pPr>
      <w:r>
        <w:rPr>
          <w:b/>
          <w:sz w:val="21"/>
          <w:shd w:fill="D6E4F0" w:val="clear"/>
        </w:rPr>
        <w:t>C项错误：</w:t>
      </w:r>
    </w:p>
    <w:p>
      <w:pPr>
        <w:spacing w:line="360" w:lineRule="auto" w:after="40"/>
        <w:ind w:firstLine="420"/>
      </w:pPr>
      <w:r>
        <w:t>教材说的是赌团运营商很少收集并向赌场共享客户KYC资料，由此影响客户身份和资金来源透明度</w:t>
      </w:r>
      <w:r>
        <w:rPr>
          <w:sz w:val="15"/>
          <w:vertAlign w:val="superscript"/>
        </w:rPr>
        <w:t>P121</w:t>
      </w:r>
      <w:r>
        <w:t>。这支持特定赌团场景的KYC控制风险，但不能直接上升为整个赌场和赌博业普遍存在薄弱的KYC政策和程序。在线博彩在必要控制不足时身份欺诈风险会上升</w:t>
      </w:r>
      <w:r>
        <w:rPr>
          <w:sz w:val="15"/>
          <w:vertAlign w:val="superscript"/>
        </w:rPr>
        <w:t>P120</w:t>
      </w:r>
      <w:r>
        <w:t>，同样是条件性场景，而非全行业概括。</w:t>
      </w:r>
    </w:p>
    <w:p>
      <w:pPr>
        <w:spacing w:before="120" w:after="40"/>
      </w:pPr>
      <w:r>
        <w:rPr>
          <w:b/>
          <w:sz w:val="21"/>
          <w:shd w:fill="D6E4F0" w:val="clear"/>
        </w:rPr>
        <w:t>D项错误：</w:t>
      </w:r>
    </w:p>
    <w:p>
      <w:pPr>
        <w:spacing w:line="360" w:lineRule="auto" w:after="40"/>
        <w:ind w:firstLine="420"/>
      </w:pPr>
      <w:r>
        <w:t>教材明确指出赌场因大量现金交易而特别容易遭受洗钱</w:t>
      </w:r>
      <w:r>
        <w:rPr>
          <w:sz w:val="15"/>
          <w:vertAlign w:val="superscript"/>
        </w:rPr>
        <w:t>P120</w:t>
      </w:r>
      <w:r>
        <w:t>；但该表述直接针对实体赌场的现金业务风险，且现金密集风险也见于其他行业</w:t>
      </w:r>
      <w:r>
        <w:rPr>
          <w:sz w:val="15"/>
          <w:vertAlign w:val="superscript"/>
        </w:rPr>
        <w:t>P65</w:t>
      </w:r>
      <w:r>
        <w:t>。相比之下，B出现在对整个博彩业独特行业特征的概括中，更符合题干的“更广泛”层级。</w:t>
      </w:r>
    </w:p>
    <w:p>
      <w:pPr>
        <w:spacing w:before="120" w:after="40"/>
      </w:pPr>
      <w:r>
        <w:rPr>
          <w:b/>
          <w:sz w:val="21"/>
          <w:shd w:fill="D6E4F0" w:val="clear"/>
        </w:rPr>
        <w:t>易错提醒：</w:t>
      </w:r>
    </w:p>
    <w:p>
      <w:pPr>
        <w:spacing w:line="360" w:lineRule="auto" w:after="40"/>
        <w:ind w:firstLine="420"/>
      </w:pPr>
      <w:r>
        <w:t>要区分行业级固有风险与特定经营场景的控制缺陷：跨境活动是教材对博彩业独特特征的直接概括</w:t>
      </w:r>
      <w:r>
        <w:rPr>
          <w:sz w:val="15"/>
          <w:vertAlign w:val="superscript"/>
        </w:rPr>
        <w:t>P120</w:t>
      </w:r>
      <w:r>
        <w:t>；现金密集是实体赌场的业务风险</w:t>
      </w:r>
      <w:r>
        <w:rPr>
          <w:sz w:val="15"/>
          <w:vertAlign w:val="superscript"/>
        </w:rPr>
        <w:t>P120</w:t>
      </w:r>
      <w:r>
        <w:t>；KYC收集与共享不足则是赌团运营商场景中的控制问题</w:t>
      </w:r>
      <w:r>
        <w:rPr>
          <w:sz w:val="15"/>
          <w:vertAlign w:val="superscript"/>
        </w:rPr>
        <w:t>P121</w:t>
      </w:r>
      <w:r>
        <w:t>。</w:t>
      </w:r>
    </w:p>
    <w:p>
      <w:pPr>
        <w:spacing w:line="360" w:lineRule="auto" w:after="120"/>
      </w:pPr>
      <w:r/>
    </w:p>
    <w:p>
      <w:pPr>
        <w:spacing w:line="360" w:lineRule="auto" w:after="40"/>
      </w:pPr>
      <w:r>
        <w:t>12. 以下哪项陈述最能描述与守门人相关的金融犯罪风险？</w:t>
      </w:r>
      <w:r>
        <w:br/>
      </w:r>
      <w:r>
        <w:t>Which of the following statements best describes the financial crime risk associated with gatekeepers?</w:t>
      </w:r>
    </w:p>
    <w:p>
      <w:pPr>
        <w:spacing w:line="360" w:lineRule="auto" w:after="20"/>
      </w:pPr>
      <w:r>
        <w:t>A.守门人掌握着专门的知识,这些知识可能被滥用,从而为非法资金的流动提供便利,并掩盖其客户参与非法活动的事实.</w:t>
      </w:r>
      <w:r>
        <w:br/>
      </w:r>
      <w:r>
        <w:t>Gatekeepers have specialized knowledge that can be abused to facilitate the movement of illicit funds and conceal the involvement of their clients in illicit schemes.</w:t>
      </w:r>
    </w:p>
    <w:p>
      <w:pPr>
        <w:spacing w:line="360" w:lineRule="auto" w:after="20"/>
      </w:pPr>
      <w:r>
        <w:t>B.守门人职位具有隐蔽性,这往往使其财富来源难以核实.</w:t>
      </w:r>
      <w:r>
        <w:br/>
      </w:r>
      <w:r>
        <w:t>Gatekeeper positions are of a secretive nature, often making it difficult to verify their source of wealth.</w:t>
      </w:r>
    </w:p>
    <w:p>
      <w:pPr>
        <w:spacing w:line="360" w:lineRule="auto" w:after="20"/>
      </w:pPr>
      <w:r>
        <w:t>C.守门人具有独特的关系结构,这使得确定最终受益人变得困难.</w:t>
      </w:r>
      <w:r>
        <w:br/>
      </w:r>
      <w:r>
        <w:t>Gatekeepers have unique relationship structures, making it difficult to determine beneficial ownership.</w:t>
      </w:r>
    </w:p>
    <w:p>
      <w:pPr>
        <w:spacing w:line="360" w:lineRule="auto" w:after="20"/>
      </w:pPr>
      <w:r>
        <w:t>D.守门人被赋予了重要的职能和行为准则,这可能有助于洗钱活动.</w:t>
      </w:r>
      <w:r>
        <w:br/>
      </w:r>
      <w:r>
        <w:t>Gatekeepers are entrusted with prominent functions and codes of conduct that may facilitate money laundering activities.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识别守门人专业服务及中介角色被犯罪分子利用的风险</w:t>
      </w:r>
    </w:p>
    <w:p>
      <w:pPr>
        <w:spacing w:before="120" w:after="40"/>
      </w:pPr>
      <w:r>
        <w:rPr>
          <w:b/>
          <w:sz w:val="21"/>
          <w:shd w:fill="D6E4F0" w:val="clear"/>
        </w:rPr>
        <w:t>核心解析：</w:t>
      </w:r>
    </w:p>
    <w:p>
      <w:pPr>
        <w:spacing w:line="360" w:lineRule="auto" w:after="40"/>
        <w:ind w:firstLine="420"/>
      </w:pPr>
      <w:r>
        <w:t>教材直接将DNFBP称为</w:t>
      </w:r>
      <w:r>
        <w:rPr>
          <w:b/>
        </w:rPr>
        <w:t>“gatekeepers”</w:t>
      </w:r>
      <w:r>
        <w:t>，并说明这些企业充当犯罪分子与金融系统之间的中介</w:t>
      </w:r>
      <w:r>
        <w:rPr>
          <w:sz w:val="15"/>
          <w:vertAlign w:val="superscript"/>
        </w:rPr>
        <w:t>P119</w:t>
      </w:r>
      <w:r>
        <w:t>。在缺乏保障措施时，它们可能被利用来</w:t>
      </w:r>
      <w:r>
        <w:rPr>
          <w:b/>
        </w:rPr>
        <w:t>隐藏非法资金来源、创建法律结构或处理高价值物品</w:t>
      </w:r>
      <w:r>
        <w:rPr>
          <w:sz w:val="15"/>
          <w:vertAlign w:val="superscript"/>
        </w:rPr>
        <w:t>P119</w:t>
      </w:r>
      <w:r>
        <w:t>。教材的具体例子还显示，会计师可能通过核实资金来源使非法交易看似合法，并协助犯罪所得的置入和离析</w:t>
      </w:r>
      <w:r>
        <w:rPr>
          <w:sz w:val="15"/>
          <w:vertAlign w:val="superscript"/>
        </w:rPr>
        <w:t>P120</w:t>
      </w:r>
      <w:r>
        <w:t>；律师设立的信托或空壳公司则可能掩盖真实受益人，法律特权也可能被犯罪分子用于隐藏所涉金融犯罪</w:t>
      </w:r>
      <w:r>
        <w:rPr>
          <w:sz w:val="15"/>
          <w:vertAlign w:val="superscript"/>
        </w:rPr>
        <w:t>P119</w:t>
      </w:r>
      <w:r>
        <w:t>。</w:t>
      </w:r>
    </w:p>
    <w:p>
      <w:pPr>
        <w:spacing w:line="360" w:lineRule="auto" w:after="40"/>
        <w:ind w:firstLine="420"/>
      </w:pPr>
      <w:r>
        <w:t>守门人凭借专业知识和服务连接客户与金融系统，这些服务可能被犯罪分子利用来转移资金、建立法律结构或掩盖非法资金来源（P119-P120）。选项A概括了这一普遍风险，覆盖范围比只描述某一种结构的C更完整，也没有把风险错误归因于守门人自身财富或行为准则，因此最符合题意。</w:t>
      </w:r>
    </w:p>
    <w:p>
      <w:pPr>
        <w:spacing w:before="120" w:after="40"/>
      </w:pPr>
      <w:r>
        <w:rPr>
          <w:b/>
          <w:sz w:val="21"/>
          <w:shd w:fill="D6E4F0" w:val="clear"/>
        </w:rPr>
        <w:t>教材原句：</w:t>
      </w:r>
    </w:p>
    <w:p>
      <w:pPr>
        <w:spacing w:line="360" w:lineRule="auto" w:after="40"/>
        <w:ind w:firstLine="420"/>
      </w:pPr>
      <w:r>
        <w:t>“Often referred to as "gatekeepers," these businesses act as intermediaries between criminals and the financial system.”</w:t>
      </w:r>
      <w:r>
        <w:rPr>
          <w:sz w:val="15"/>
          <w:vertAlign w:val="superscript"/>
        </w:rPr>
        <w:t>P119</w:t>
      </w:r>
    </w:p>
    <w:p>
      <w:pPr>
        <w:spacing w:before="120" w:after="40"/>
      </w:pPr>
      <w:r>
        <w:rPr>
          <w:b/>
          <w:sz w:val="21"/>
          <w:shd w:fill="D6E4F0" w:val="clear"/>
        </w:rPr>
        <w:t>B项错误：</w:t>
      </w:r>
    </w:p>
    <w:p>
      <w:pPr>
        <w:spacing w:line="360" w:lineRule="auto" w:after="40"/>
        <w:ind w:firstLine="420"/>
      </w:pPr>
      <w:r>
        <w:t>选项B把风险焦点放在守门人自身职位隐秘、难以核实其财富来源。但守门人风险的重点是其作为客户与金融系统之间的中介，以及其专业服务可能被利用</w:t>
      </w:r>
      <w:r>
        <w:rPr>
          <w:sz w:val="15"/>
          <w:vertAlign w:val="superscript"/>
        </w:rPr>
        <w:t>P119</w:t>
      </w:r>
      <w:r>
        <w:t>，而不是守门人自身的财富来源。</w:t>
      </w:r>
    </w:p>
    <w:p>
      <w:pPr>
        <w:spacing w:before="120" w:after="40"/>
      </w:pPr>
      <w:r>
        <w:rPr>
          <w:b/>
          <w:sz w:val="21"/>
          <w:shd w:fill="D6E4F0" w:val="clear"/>
        </w:rPr>
        <w:t>C项错误：</w:t>
      </w:r>
    </w:p>
    <w:p>
      <w:pPr>
        <w:spacing w:line="360" w:lineRule="auto" w:after="40"/>
        <w:ind w:firstLine="420"/>
      </w:pPr>
      <w:r>
        <w:t>教材确实说明律师可能协助建立信托或空壳公司，从而掩盖真实受益人的身份</w:t>
      </w:r>
      <w:r>
        <w:rPr>
          <w:sz w:val="15"/>
          <w:vertAlign w:val="superscript"/>
        </w:rPr>
        <w:t>P119</w:t>
      </w:r>
      <w:r>
        <w:t>。但风险来自守门人创建或运用的法律结构，不是守门人本身具有所谓“独特的关系结构”；而且这只是守门人风险的一种具体表现，范围窄于A。</w:t>
      </w:r>
    </w:p>
    <w:p>
      <w:pPr>
        <w:spacing w:before="120" w:after="40"/>
      </w:pPr>
      <w:r>
        <w:rPr>
          <w:b/>
          <w:sz w:val="21"/>
          <w:shd w:fill="D6E4F0" w:val="clear"/>
        </w:rPr>
        <w:t>D项错误：</w:t>
      </w:r>
    </w:p>
    <w:p>
      <w:pPr>
        <w:spacing w:line="360" w:lineRule="auto" w:after="40"/>
        <w:ind w:firstLine="420"/>
      </w:pPr>
      <w:r>
        <w:t>风险来自守门人的中介角色和专业服务在缺乏保障时可能被犯罪分子利用</w:t>
      </w:r>
      <w:r>
        <w:rPr>
          <w:sz w:val="15"/>
          <w:vertAlign w:val="superscript"/>
        </w:rPr>
        <w:t>P119</w:t>
      </w:r>
      <w:r>
        <w:t>，而不是专业行为准则本身会促进洗钱。D把风险来源归错了对象。</w:t>
      </w:r>
    </w:p>
    <w:p>
      <w:pPr>
        <w:spacing w:before="120" w:after="40"/>
      </w:pPr>
      <w:r>
        <w:rPr>
          <w:b/>
          <w:sz w:val="21"/>
          <w:shd w:fill="D6E4F0" w:val="clear"/>
        </w:rPr>
        <w:t>易错提醒：</w:t>
      </w:r>
    </w:p>
    <w:p>
      <w:pPr>
        <w:spacing w:line="360" w:lineRule="auto" w:after="40"/>
        <w:ind w:firstLine="420"/>
      </w:pPr>
      <w:r>
        <w:t>守门人风险的判断重点是“专业服务如何被利用”，而不是守门人自身是否可疑。法律结构掩盖受益所有人、会计服务使交易看似合法、高价值物品便于价值转移，都是专业服务被利用的具体方式（P119-P120）；选项A概括的是共同机制，C只描述其中一种可能结果。</w:t>
      </w:r>
    </w:p>
    <w:p>
      <w:pPr>
        <w:spacing w:line="360" w:lineRule="auto" w:after="120"/>
      </w:pPr>
      <w:r/>
    </w:p>
    <w:p>
      <w:pPr>
        <w:spacing w:line="360" w:lineRule="auto" w:after="40"/>
      </w:pPr>
      <w:r>
        <w:t>13. 哪些辅助部门或运营领域能够在支持大型组织的反洗钱和经济制裁合规计划方面发挥关键作用？（选择三项。）</w:t>
      </w:r>
      <w:r>
        <w:br/>
      </w:r>
      <w:r>
        <w:t>Which ancillary departments or operational areas can play an essential role in supporting a larger organization's anti-money laundering and economic sanctions compliance program? (Choose three.)</w:t>
      </w:r>
    </w:p>
    <w:p>
      <w:pPr>
        <w:spacing w:line="360" w:lineRule="auto" w:after="20"/>
      </w:pPr>
      <w:r>
        <w:t>A.会计职能</w:t>
      </w:r>
      <w:r>
        <w:br/>
      </w:r>
      <w:r>
        <w:t>Accounting.</w:t>
      </w:r>
    </w:p>
    <w:p>
      <w:pPr>
        <w:spacing w:line="360" w:lineRule="auto" w:after="20"/>
      </w:pPr>
      <w:r>
        <w:t>B.模型风险管理</w:t>
      </w:r>
      <w:r>
        <w:br/>
      </w:r>
      <w:r>
        <w:t>Model risk management.</w:t>
      </w:r>
    </w:p>
    <w:p>
      <w:pPr>
        <w:spacing w:line="360" w:lineRule="auto" w:after="20"/>
      </w:pPr>
      <w:r>
        <w:t>C.技术解决方案与IT安全</w:t>
      </w:r>
      <w:r>
        <w:br/>
      </w:r>
      <w:r>
        <w:t>Technology solutions and IT security.</w:t>
      </w:r>
    </w:p>
    <w:p>
      <w:pPr>
        <w:spacing w:line="360" w:lineRule="auto" w:after="20"/>
      </w:pPr>
      <w:r>
        <w:t>D.市场营销</w:t>
      </w:r>
      <w:r>
        <w:br/>
      </w:r>
      <w:r>
        <w:t>Marketing.</w:t>
      </w:r>
    </w:p>
    <w:p>
      <w:pPr>
        <w:spacing w:line="360" w:lineRule="auto" w:after="20"/>
      </w:pPr>
      <w:r>
        <w:t>E.欺诈风险管理</w:t>
      </w:r>
      <w:r>
        <w:br/>
      </w:r>
      <w:r>
        <w:t>Fraud risk management.</w:t>
      </w:r>
    </w:p>
    <w:p>
      <w:pPr>
        <w:spacing w:line="360" w:lineRule="auto" w:after="40"/>
      </w:pPr>
      <w:r>
        <w:t>答案:A、C、E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区分AFC核心职能与外围辅助部门或运营领域</w:t>
      </w:r>
    </w:p>
    <w:p>
      <w:pPr>
        <w:spacing w:before="120" w:after="40"/>
      </w:pPr>
      <w:r>
        <w:rPr>
          <w:b/>
          <w:sz w:val="21"/>
          <w:shd w:fill="D6E4F0" w:val="clear"/>
        </w:rPr>
        <w:t>核心解析：</w:t>
      </w:r>
    </w:p>
    <w:p>
      <w:pPr>
        <w:spacing w:line="360" w:lineRule="auto" w:after="40"/>
        <w:ind w:firstLine="420"/>
      </w:pPr>
      <w:r>
        <w:t>题干问的是能够支持大型组织AFC（反洗钱和经济制裁）计划的“辅助部门或运营领域”，并非要求从第二道防线的核心AFC职能清单中再选三项。会计职能接触财务管理、报告和咨询信息，能够评估财务背景并发现可疑活动，因此可以为组织识别和上报风险提供辅助信息（P122-P123）。</w:t>
      </w:r>
      <w:r>
        <w:rPr>
          <w:b/>
        </w:rPr>
        <w:t>技术解决方案与IT安全直接支撑AFC系统安全、持续监测和调查</w:t>
      </w:r>
      <w:r>
        <w:t>；教材明确指出IT支持、网络安全人员以及技术解决方案是确保AFC系统安全、运行有效和调查能力的组成部分</w:t>
      </w:r>
      <w:r>
        <w:rPr>
          <w:sz w:val="15"/>
          <w:vertAlign w:val="superscript"/>
        </w:rPr>
        <w:t>P391、P428</w:t>
      </w:r>
      <w:r>
        <w:t>。欺诈风险评估在部分组织中纳入操作风险管理，且可与AML风险评估集中执行，因而属于可协同支持AFC计划的运营领域</w:t>
      </w:r>
      <w:r>
        <w:rPr>
          <w:sz w:val="15"/>
          <w:vertAlign w:val="superscript"/>
        </w:rPr>
        <w:t>P263、P269</w:t>
      </w:r>
      <w:r>
        <w:t>。</w:t>
      </w:r>
    </w:p>
    <w:p>
      <w:pPr>
        <w:spacing w:line="360" w:lineRule="auto" w:after="40"/>
        <w:ind w:firstLine="420"/>
      </w:pPr>
      <w:r>
        <w:t>模型风险管理当然与AFC有关，教材也明确其负责AFC模型（包括交易监控系统）的验证和治理</w:t>
      </w:r>
      <w:r>
        <w:rPr>
          <w:sz w:val="15"/>
          <w:vertAlign w:val="superscript"/>
        </w:rPr>
        <w:t>P251</w:t>
      </w:r>
      <w:r>
        <w:t>；但教材将其置于第二道防线的AFC核心职能结构中</w:t>
      </w:r>
      <w:r>
        <w:rPr>
          <w:sz w:val="15"/>
          <w:vertAlign w:val="superscript"/>
        </w:rPr>
        <w:t>P250</w:t>
      </w:r>
      <w:r>
        <w:t>，而题干询问的是辅助部门或运营领域。因此，B与AFC相关，却不符合题干的组织分类。市场营销则没有被教材定位为AML或制裁合规支持职能，相关内容反而强调客户数据用于营销可能受到用途限制</w:t>
      </w:r>
      <w:r>
        <w:rPr>
          <w:sz w:val="15"/>
          <w:vertAlign w:val="superscript"/>
        </w:rPr>
        <w:t>P209</w:t>
      </w:r>
      <w:r>
        <w:t>。所以应选A、C、E。</w:t>
      </w:r>
    </w:p>
    <w:p>
      <w:pPr>
        <w:spacing w:before="120" w:after="40"/>
      </w:pPr>
      <w:r>
        <w:rPr>
          <w:b/>
          <w:sz w:val="21"/>
          <w:shd w:fill="D6E4F0" w:val="clear"/>
        </w:rPr>
        <w:t>B项错误：</w:t>
      </w:r>
    </w:p>
    <w:p>
      <w:pPr>
        <w:spacing w:line="360" w:lineRule="auto" w:after="40"/>
        <w:ind w:firstLine="420"/>
      </w:pPr>
      <w:r>
        <w:t>模型风险管理确实负责AFC模型和交易监控系统的验证与治理</w:t>
      </w:r>
      <w:r>
        <w:rPr>
          <w:sz w:val="15"/>
          <w:vertAlign w:val="superscript"/>
        </w:rPr>
        <w:t>P251</w:t>
      </w:r>
      <w:r>
        <w:t>，但教材把它列在第二道防线的AFC核心职能结构中</w:t>
      </w:r>
      <w:r>
        <w:rPr>
          <w:sz w:val="15"/>
          <w:vertAlign w:val="superscript"/>
        </w:rPr>
        <w:t>P250</w:t>
      </w:r>
      <w:r>
        <w:t>。本题要求的是“辅助部门或运营领域”，因此B不能仅因与AFC有关就入选；排除依据是题干分类与教材组织结构的结合，而不是断言模型风险管理与AML无关。</w:t>
      </w:r>
    </w:p>
    <w:p>
      <w:pPr>
        <w:spacing w:before="120" w:after="40"/>
      </w:pPr>
      <w:r>
        <w:rPr>
          <w:b/>
          <w:sz w:val="21"/>
          <w:shd w:fill="D6E4F0" w:val="clear"/>
        </w:rPr>
        <w:t>D项错误：</w:t>
      </w:r>
    </w:p>
    <w:p>
      <w:pPr>
        <w:spacing w:line="360" w:lineRule="auto" w:after="40"/>
        <w:ind w:firstLine="420"/>
      </w:pPr>
      <w:r>
        <w:t>“市场营销”未被教材定位为AML或经济制裁合规支持职能。教材涉及营销时是在数据隐私语境下，指出许多司法管辖区禁止将为一种目的收集的数据用于另一目的（如营销）</w:t>
      </w:r>
      <w:r>
        <w:rPr>
          <w:sz w:val="15"/>
          <w:vertAlign w:val="superscript"/>
        </w:rPr>
        <w:t>P209</w:t>
      </w:r>
      <w:r>
        <w:t>；这不能证明营销部门承担AFC支持职责。</w:t>
      </w:r>
    </w:p>
    <w:p>
      <w:pPr>
        <w:spacing w:before="120" w:after="40"/>
      </w:pPr>
      <w:r>
        <w:rPr>
          <w:b/>
          <w:sz w:val="21"/>
          <w:shd w:fill="D6E4F0" w:val="clear"/>
        </w:rPr>
        <w:t>易错提醒：</w:t>
      </w:r>
    </w:p>
    <w:p>
      <w:pPr>
        <w:spacing w:line="360" w:lineRule="auto" w:after="40"/>
        <w:ind w:firstLine="420"/>
      </w:pPr>
      <w:r>
        <w:t>易错点是把“与AML有关”误读成“符合题干所说的辅助部门或运营领域”。B有明确AFC职能依据（P250-P251），但在本题的组织分类下仍应排除；A、C、E分别从财务信息识别、技术支撑和欺诈/操作风险协同三个角度提供支持（P122-P123、P391、P428、P263、P269）。</w:t>
      </w:r>
    </w:p>
    <w:p>
      <w:pPr>
        <w:spacing w:line="360" w:lineRule="auto" w:after="120"/>
      </w:pPr>
      <w:r/>
    </w:p>
    <w:p>
      <w:pPr>
        <w:spacing w:line="360" w:lineRule="auto" w:after="40"/>
      </w:pPr>
      <w:r>
        <w:t>14. 信托和公司服务提供商（TCSP）应通过以下方式应对洗钱风险：（选择三项。）</w:t>
      </w:r>
      <w:r>
        <w:br/>
      </w:r>
      <w:r>
        <w:t>Trust and company service providers (TCSPs) should address money laundering risk by: (Select three.)</w:t>
      </w:r>
    </w:p>
    <w:p>
      <w:pPr>
        <w:spacing w:line="360" w:lineRule="auto" w:after="20"/>
      </w:pPr>
      <w:r>
        <w:t>A.在为客户处理交易时建立双重控制和质量保证措施</w:t>
      </w:r>
      <w:r>
        <w:br/>
      </w:r>
      <w:r>
        <w:t>Establishing dual controls and quality assurance practices when processing transactions for the client</w:t>
      </w:r>
    </w:p>
    <w:p>
      <w:pPr>
        <w:spacing w:line="360" w:lineRule="auto" w:after="20"/>
      </w:pPr>
      <w:r>
        <w:t>B.考虑当客户通过位于另一司法管辖区的另一家信托和公司服务提供商（TCSP）下达指令时，可能需要采取哪些额外的保障措施</w:t>
      </w:r>
      <w:r>
        <w:br/>
      </w:r>
      <w:r>
        <w:t>Considering what additional safeguards may be required when client instructions are given through another TCSP located in another jurisdiction</w:t>
      </w:r>
    </w:p>
    <w:p>
      <w:pPr>
        <w:spacing w:line="360" w:lineRule="auto" w:after="20"/>
      </w:pPr>
      <w:r>
        <w:t>C.要求客户完成并向所在司法管辖区的金融情报机构（FIU）提交反洗钱风险自我评估表</w:t>
      </w:r>
      <w:r>
        <w:br/>
      </w:r>
      <w:r>
        <w:t>Requiring the client to complete and submit an AML risk self-assessment to the jurisdiction's Financial Intelligence Unit (FIU)</w:t>
      </w:r>
    </w:p>
    <w:p>
      <w:pPr>
        <w:spacing w:line="360" w:lineRule="auto" w:after="20"/>
      </w:pPr>
      <w:r>
        <w:t>D.从客户处收集并记录信息，以了解法律实体的目的，以及管理人员和最终受益所有人的身份。</w:t>
      </w:r>
      <w:r>
        <w:br/>
      </w:r>
      <w:r>
        <w:t>Gathering and recording information from clients to understand the purpose of the legal entity, as well as the identity of managers and ultimate beneficial owners</w:t>
      </w:r>
    </w:p>
    <w:p>
      <w:pPr>
        <w:spacing w:line="360" w:lineRule="auto" w:after="20"/>
      </w:pPr>
      <w:r>
        <w:t>E.建立相关程序，以记录信托和公司服务提供商（TCSP）作为客户注册官的依据，并保存相关参与记录</w:t>
      </w:r>
      <w:r>
        <w:br/>
      </w:r>
      <w:r>
        <w:t>Establishing procedures to document the basis on which the TCSP will act as a registered officer for the client and retaining records of that involvement</w:t>
      </w:r>
    </w:p>
    <w:p>
      <w:pPr>
        <w:spacing w:line="360" w:lineRule="auto" w:after="20"/>
      </w:pPr>
      <w:r>
        <w:t>F.对客户进行现场评估以审查其内部控制措施</w:t>
      </w:r>
      <w:r>
        <w:br/>
      </w:r>
      <w:r>
        <w:t>Conducting an onsite evaluation of the client to assess internal controls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TCSP固有洗钱风险的对应控制措施</w:t>
      </w:r>
    </w:p>
    <w:p>
      <w:pPr>
        <w:spacing w:before="120" w:after="40"/>
      </w:pPr>
      <w:r>
        <w:rPr>
          <w:b/>
          <w:sz w:val="21"/>
          <w:shd w:fill="D6E4F0" w:val="clear"/>
        </w:rPr>
        <w:t>核心解析：</w:t>
      </w:r>
    </w:p>
    <w:p>
      <w:pPr>
        <w:spacing w:line="360" w:lineRule="auto" w:after="40"/>
        <w:ind w:firstLine="420"/>
      </w:pPr>
      <w:r>
        <w:t>信托与公司服务提供商（TCSP）的核心洗钱风险在于其提供的服务可能被用于</w:t>
      </w:r>
      <w:r>
        <w:rPr>
          <w:b/>
        </w:rPr>
        <w:t>掩盖真实所有权和非法资金来源</w:t>
      </w:r>
      <w:r>
        <w:rPr>
          <w:sz w:val="15"/>
          <w:vertAlign w:val="superscript"/>
        </w:rPr>
        <w:t>P120</w:t>
      </w:r>
      <w:r>
        <w:t>。例如，TCSP常提供</w:t>
      </w:r>
      <w:r>
        <w:rPr>
          <w:b/>
        </w:rPr>
        <w:t>名义服务</w:t>
      </w:r>
      <w:r>
        <w:t>，由第三方代表客户担任董事或股东，这便增加了识别最终受益所有人的难度</w:t>
      </w:r>
      <w:r>
        <w:rPr>
          <w:sz w:val="15"/>
          <w:vertAlign w:val="superscript"/>
        </w:rPr>
        <w:t>P127</w:t>
      </w:r>
      <w:r>
        <w:t>。因此，应对TCSP的洗钱风险，需围绕</w:t>
      </w:r>
      <w:r>
        <w:rPr>
          <w:b/>
        </w:rPr>
        <w:t>穿透所有权结构、记录商业实质和管控跨境风险</w:t>
      </w:r>
      <w:r>
        <w:t>这三个核心来构建控制措施。选项D直接对应穿透所有权的核心要求：通过收集并记录法律实体的目的、管理人员及最终受益所有人身份，来打破TCSP结构可能造成的匿名性。选项E对应记录商业实质：由于犯罪分子可能利用名义董事和股东隐藏身份</w:t>
      </w:r>
      <w:r>
        <w:rPr>
          <w:sz w:val="15"/>
          <w:vertAlign w:val="superscript"/>
        </w:rPr>
        <w:t>P127</w:t>
      </w:r>
      <w:r>
        <w:t>，TCSP必须建立程序记录其担任客户注册代表的依据并保存参与记录，以确保有据可查，防止服务被滥用作掩护。选项B对应管控跨境风险：教材指出离岸公司有限的公开记录和复杂的国际交易流会加剧洗钱风险，使TCSP成为重要守门人。当客户通过另一司法管辖区的TCSP下达指令时，正是这种风险最高的国际复杂结构场景，因此必须考虑额外的保障措施来应对不同司法管辖区之间信息不透明和监管差异带来的挑战。</w:t>
      </w:r>
    </w:p>
    <w:p>
      <w:pPr>
        <w:spacing w:before="120" w:after="40"/>
      </w:pPr>
      <w:r>
        <w:rPr>
          <w:b/>
          <w:sz w:val="21"/>
          <w:shd w:fill="D6E4F0" w:val="clear"/>
        </w:rPr>
        <w:t>教材原句：</w:t>
      </w:r>
    </w:p>
    <w:p>
      <w:pPr>
        <w:spacing w:line="360" w:lineRule="auto" w:after="40"/>
        <w:ind w:firstLine="420"/>
      </w:pPr>
      <w:r>
        <w:t>"Trust or company service providers: These providers create structures that obscure beneficial ownership and the origin of funds, making them attractive to individuals seeking to launder money."</w:t>
      </w:r>
      <w:r>
        <w:rPr>
          <w:sz w:val="15"/>
          <w:vertAlign w:val="superscript"/>
        </w:rPr>
        <w:t>P120</w:t>
      </w:r>
    </w:p>
    <w:p>
      <w:pPr>
        <w:spacing w:before="120" w:after="40"/>
      </w:pPr>
      <w:r>
        <w:rPr>
          <w:b/>
          <w:sz w:val="21"/>
          <w:shd w:fill="D6E4F0" w:val="clear"/>
        </w:rPr>
        <w:t>A项错误：</w:t>
      </w:r>
    </w:p>
    <w:p>
      <w:pPr>
        <w:spacing w:line="360" w:lineRule="auto" w:after="40"/>
        <w:ind w:firstLine="420"/>
      </w:pPr>
      <w:r>
        <w:t>题干问的是TCSP“应对洗钱风险”的特定举措，而A项描述的“双重控制和质量保证措施”属于金融机构内部通用的合规运营流程</w:t>
      </w:r>
      <w:r>
        <w:rPr>
          <w:sz w:val="15"/>
          <w:vertAlign w:val="superscript"/>
        </w:rPr>
        <w:t>P249</w:t>
      </w:r>
      <w:r>
        <w:t>，它保障的是某个操作或流程本身的准确性，而非直接针对TCSP业务中被滥用于掩盖所有权的独特风险，因此匹配度不如B、D、E直接。</w:t>
      </w:r>
    </w:p>
    <w:p>
      <w:pPr>
        <w:spacing w:before="120" w:after="40"/>
      </w:pPr>
      <w:r>
        <w:rPr>
          <w:b/>
          <w:sz w:val="21"/>
          <w:shd w:fill="D6E4F0" w:val="clear"/>
        </w:rPr>
        <w:t>C项错误：</w:t>
      </w:r>
    </w:p>
    <w:p>
      <w:pPr>
        <w:spacing w:line="360" w:lineRule="auto" w:after="40"/>
        <w:ind w:firstLine="420"/>
      </w:pPr>
      <w:r>
        <w:t>报告可疑交易是金融机构对金融情报机构（FIU）的义务，而非客户对FIU的义务。要求客户自己向FIU提交反洗钱风险自我评估表在逻辑上与反洗钱合规的基本责任主体要求相悖。</w:t>
      </w:r>
    </w:p>
    <w:p>
      <w:pPr>
        <w:spacing w:before="120" w:after="40"/>
      </w:pPr>
      <w:r>
        <w:rPr>
          <w:b/>
          <w:sz w:val="21"/>
          <w:shd w:fill="D6E4F0" w:val="clear"/>
        </w:rPr>
        <w:t>F项错误：</w:t>
      </w:r>
    </w:p>
    <w:p>
      <w:pPr>
        <w:spacing w:line="360" w:lineRule="auto" w:after="40"/>
        <w:ind w:firstLine="420"/>
      </w:pPr>
      <w:r>
        <w:t>对客户进行现场评估以审查其内部控制措施，是金融机构对高风险客户采取加强尽职调查（EDD）的潜在手段之一，比如安排“定期审计和合规会议”</w:t>
      </w:r>
      <w:r>
        <w:rPr>
          <w:sz w:val="15"/>
          <w:vertAlign w:val="superscript"/>
        </w:rPr>
        <w:t>P313</w:t>
      </w:r>
      <w:r>
        <w:t>。但这属于对已有客户关系的持续监控措施，而非TCSP行业为应对其业务固有风险所应建立的针对性的核心程序，B、D、E更直接地根植于TCSP业务自身的特点。</w:t>
      </w:r>
    </w:p>
    <w:p>
      <w:pPr>
        <w:spacing w:before="120" w:after="40"/>
      </w:pPr>
      <w:r>
        <w:rPr>
          <w:b/>
          <w:sz w:val="21"/>
          <w:shd w:fill="D6E4F0" w:val="clear"/>
        </w:rPr>
        <w:t>易错提醒：</w:t>
      </w:r>
    </w:p>
    <w:p>
      <w:pPr>
        <w:spacing w:line="360" w:lineRule="auto" w:after="40"/>
        <w:ind w:firstLine="420"/>
      </w:pPr>
      <w:r>
        <w:t>“加强尽职调查（EDD）”的某些措施（如定期审计）与TCSP需“建立程序记录”的义务容易混淆。区别在于，前者是金融机构对高风险客户的持续监督，主体是金融机构</w:t>
      </w:r>
      <w:r>
        <w:rPr>
          <w:sz w:val="15"/>
          <w:vertAlign w:val="superscript"/>
        </w:rPr>
        <w:t>P313</w:t>
      </w:r>
      <w:r>
        <w:t>；后者是TCSP为预防其名义服务被利用而必须做的事前程序性记录，主体是TCSP自身</w:t>
      </w:r>
      <w:r>
        <w:rPr>
          <w:sz w:val="15"/>
          <w:vertAlign w:val="superscript"/>
        </w:rPr>
        <w:t>P120、P127</w:t>
      </w:r>
      <w:r>
        <w:t>。</w:t>
      </w:r>
    </w:p>
    <w:p>
      <w:pPr>
        <w:spacing w:line="360" w:lineRule="auto" w:after="120"/>
      </w:pPr>
      <w:r/>
    </w:p>
    <w:p>
      <w:pPr>
        <w:spacing w:line="360" w:lineRule="auto" w:after="40"/>
      </w:pPr>
      <w:r>
        <w:t>15. 与房地产交易相关的风险包括（选择两项。）</w:t>
      </w:r>
      <w:r>
        <w:br/>
      </w:r>
      <w:r>
        <w:t>Risks associated with real estate transactions include: (Choose two.)</w:t>
      </w:r>
    </w:p>
    <w:p>
      <w:pPr>
        <w:spacing w:line="360" w:lineRule="auto" w:after="20"/>
      </w:pPr>
      <w:r>
        <w:t>A.跨境购置.</w:t>
      </w:r>
      <w:r>
        <w:br/>
      </w:r>
      <w:r>
        <w:t>Cross-border purchases.</w:t>
      </w:r>
    </w:p>
    <w:p>
      <w:pPr>
        <w:spacing w:line="360" w:lineRule="auto" w:after="20"/>
      </w:pPr>
      <w:r>
        <w:t>B.以自然人名义进行的房产购置。</w:t>
      </w:r>
      <w:r>
        <w:br/>
      </w:r>
      <w:r>
        <w:t>Purchases in the name of a natural person.</w:t>
      </w:r>
    </w:p>
    <w:p>
      <w:pPr>
        <w:spacing w:line="360" w:lineRule="auto" w:after="20"/>
      </w:pPr>
      <w:r>
        <w:t>C.以真实的市场价格购买房产</w:t>
      </w:r>
      <w:r>
        <w:br/>
      </w:r>
      <w:r>
        <w:t>Paying true market price for a property.</w:t>
      </w:r>
    </w:p>
    <w:p>
      <w:pPr>
        <w:spacing w:line="360" w:lineRule="auto" w:after="20"/>
      </w:pPr>
      <w:r>
        <w:t>D.非融资购置.</w:t>
      </w:r>
      <w:r>
        <w:br/>
      </w:r>
      <w:r>
        <w:t>Non-financed purchases.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识别房地产交易中跨境与现金/无融资带来的洗钱风险</w:t>
      </w:r>
    </w:p>
    <w:p>
      <w:pPr>
        <w:spacing w:before="120" w:after="40"/>
      </w:pPr>
      <w:r>
        <w:rPr>
          <w:b/>
          <w:sz w:val="21"/>
          <w:shd w:fill="D6E4F0" w:val="clear"/>
        </w:rPr>
        <w:t>核心解析：</w:t>
      </w:r>
    </w:p>
    <w:p>
      <w:pPr>
        <w:spacing w:line="360" w:lineRule="auto" w:after="40"/>
        <w:ind w:firstLine="420"/>
      </w:pPr>
      <w:r>
        <w:t>教材说明</w:t>
      </w:r>
      <w:r>
        <w:rPr>
          <w:b/>
        </w:rPr>
        <w:t>国际买家与跨境交易能掩盖非法活动</w:t>
      </w:r>
      <w:r>
        <w:t>，加剧洗钱检测难度</w:t>
      </w:r>
      <w:r>
        <w:rPr>
          <w:sz w:val="15"/>
          <w:vertAlign w:val="superscript"/>
        </w:rPr>
        <w:t>P122</w:t>
      </w:r>
      <w:r>
        <w:t>；同时，现金交易因难以追踪而增加洗钱风险，全部或主要用现金支付是房地产洗钱的红旗信号</w:t>
      </w:r>
      <w:r>
        <w:rPr>
          <w:sz w:val="15"/>
          <w:vertAlign w:val="superscript"/>
        </w:rPr>
        <w:t>P122</w:t>
      </w:r>
      <w:r>
        <w:t>。因此，跨境购置（cross-border purchases）与不依赖银行融资的“非融资购置”——实践中常体现为全款或现金支付——都属于房地产交易中值得关注的风险。</w:t>
      </w:r>
    </w:p>
    <w:p>
      <w:pPr>
        <w:spacing w:before="120" w:after="40"/>
      </w:pPr>
      <w:r>
        <w:rPr>
          <w:b/>
          <w:sz w:val="21"/>
          <w:shd w:fill="D6E4F0" w:val="clear"/>
        </w:rPr>
        <w:t>教材原句：</w:t>
      </w:r>
    </w:p>
    <w:p>
      <w:pPr>
        <w:spacing w:line="360" w:lineRule="auto" w:after="40"/>
        <w:ind w:firstLine="420"/>
      </w:pPr>
      <w:r>
        <w:t>"International buyers and cross-border transactions can mask illicit activities."</w:t>
      </w:r>
      <w:r>
        <w:rPr>
          <w:sz w:val="15"/>
          <w:vertAlign w:val="superscript"/>
        </w:rPr>
        <w:t>P122</w:t>
      </w:r>
    </w:p>
    <w:p>
      <w:pPr>
        <w:spacing w:before="120" w:after="40"/>
      </w:pPr>
      <w:r>
        <w:rPr>
          <w:b/>
          <w:sz w:val="21"/>
          <w:shd w:fill="D6E4F0" w:val="clear"/>
        </w:rPr>
        <w:t>B项错误：</w:t>
      </w:r>
    </w:p>
    <w:p>
      <w:pPr>
        <w:spacing w:line="360" w:lineRule="auto" w:after="40"/>
        <w:ind w:firstLine="420"/>
      </w:pPr>
      <w:r>
        <w:t>教材将利用公司、信托或代名人形成的复杂所有权结构视为风险</w:t>
      </w:r>
      <w:r>
        <w:rPr>
          <w:sz w:val="15"/>
          <w:vertAlign w:val="superscript"/>
        </w:rPr>
        <w:t>P119</w:t>
      </w:r>
      <w:r>
        <w:t>，而以自然人名义直接购买通常更透明，缺乏这类隐蔽特征，因此不如A、D直接匹配教材列出的典型风险。</w:t>
      </w:r>
    </w:p>
    <w:p>
      <w:pPr>
        <w:spacing w:before="120" w:after="40"/>
      </w:pPr>
      <w:r>
        <w:rPr>
          <w:b/>
          <w:sz w:val="21"/>
          <w:shd w:fill="D6E4F0" w:val="clear"/>
        </w:rPr>
        <w:t>C项错误：</w:t>
      </w:r>
    </w:p>
    <w:p>
      <w:pPr>
        <w:spacing w:line="360" w:lineRule="auto" w:after="40"/>
        <w:ind w:firstLine="420"/>
      </w:pPr>
      <w:r>
        <w:t>教材指出虚增房产价值或偏离市场价格是房地产洗钱手法</w:t>
      </w:r>
      <w:r>
        <w:rPr>
          <w:sz w:val="15"/>
          <w:vertAlign w:val="superscript"/>
        </w:rPr>
        <w:t>P119</w:t>
      </w:r>
      <w:r>
        <w:t>，而按真实市场价格购买缺乏该风险信号，因而相比A、D，与教材所述风险因素的吻合度更低。</w:t>
      </w:r>
    </w:p>
    <w:p>
      <w:pPr>
        <w:spacing w:before="120" w:after="40"/>
      </w:pPr>
      <w:r>
        <w:rPr>
          <w:b/>
          <w:sz w:val="21"/>
          <w:shd w:fill="D6E4F0" w:val="clear"/>
        </w:rPr>
        <w:t>易错提醒：</w:t>
      </w:r>
    </w:p>
    <w:p>
      <w:pPr>
        <w:spacing w:line="360" w:lineRule="auto" w:after="40"/>
        <w:ind w:firstLine="420"/>
      </w:pPr>
      <w:r>
        <w:t>“非融资购置”容易被理解为中性，但实质上它往往意味着全款支付，尤其是现金。教材明确将全部或主要用现金支付列为房地产洗钱红旗信号</w:t>
      </w:r>
      <w:r>
        <w:rPr>
          <w:sz w:val="15"/>
          <w:vertAlign w:val="superscript"/>
        </w:rPr>
        <w:t>P122</w:t>
      </w:r>
      <w:r>
        <w:t>，因此不依赖融资所带来的现金交易风险才是考察重点。</w:t>
      </w:r>
    </w:p>
    <w:p>
      <w:pPr>
        <w:spacing w:line="360" w:lineRule="auto" w:after="120"/>
      </w:pPr>
      <w:r/>
    </w:p>
    <w:p>
      <w:pPr>
        <w:spacing w:line="360" w:lineRule="auto" w:after="40"/>
      </w:pPr>
      <w:r>
        <w:t>16. 以下哪些是与房地产公司相关的重大金融犯罪风险？(选择四项.)</w:t>
      </w:r>
      <w:r>
        <w:br/>
      </w:r>
      <w:r>
        <w:t>Which of the following are key financial crime risks associated with real estate companies? (Choose Four.)</w:t>
      </w:r>
    </w:p>
    <w:p>
      <w:pPr>
        <w:spacing w:line="360" w:lineRule="auto" w:after="20"/>
      </w:pPr>
      <w:r>
        <w:t>A.购买房产能够在一笔交易中实现大额资金的流动.</w:t>
      </w:r>
      <w:r>
        <w:br/>
      </w:r>
      <w:r>
        <w:t>Buying property allows for the movement of large amounts of funds in a single transaction.</w:t>
      </w:r>
    </w:p>
    <w:p>
      <w:pPr>
        <w:spacing w:line="360" w:lineRule="auto" w:after="20"/>
      </w:pPr>
      <w:r>
        <w:t>B.犯罪网络可能会购置房产用作毒品储存、供应或种植、制造、分销非法毒品的场所.</w:t>
      </w:r>
      <w:r>
        <w:br/>
      </w:r>
      <w:r>
        <w:t>Criminal networks could purchase real estate for use as supply houses or locations to grow, manufacture, or distribute illicit narcotics.</w:t>
      </w:r>
    </w:p>
    <w:p>
      <w:pPr>
        <w:spacing w:line="360" w:lineRule="auto" w:after="20"/>
      </w:pPr>
      <w:r>
        <w:t>C.市场可能波动不定,买家可能无法获得丰厚的投资回报.</w:t>
      </w:r>
      <w:r>
        <w:br/>
      </w:r>
      <w:r>
        <w:t>Markets can be volatile, and buyers may not achieve a strong return on their investment.</w:t>
      </w:r>
    </w:p>
    <w:p>
      <w:pPr>
        <w:spacing w:line="360" w:lineRule="auto" w:after="20"/>
      </w:pPr>
      <w:r>
        <w:t>D.实益所有权信息可能不透明,犯罪分子可能会滥用空壳公司和信托等安排.</w:t>
      </w:r>
      <w:r>
        <w:br/>
      </w:r>
      <w:r>
        <w:t>Beneficial ownership information might be opaque, and criminals may abuse arrangements like shell companies and trusts.</w:t>
      </w:r>
    </w:p>
    <w:p>
      <w:pPr>
        <w:spacing w:line="360" w:lineRule="auto" w:after="20"/>
      </w:pPr>
      <w:r>
        <w:t>E.房地产交易通常涉及金融机构和其他专业把关人</w:t>
      </w:r>
      <w:r>
        <w:br/>
      </w:r>
      <w:r>
        <w:t>Real estate transactions often involve financial institutions and other professional gatekeepers.</w:t>
      </w:r>
    </w:p>
    <w:p>
      <w:pPr>
        <w:spacing w:line="360" w:lineRule="auto" w:after="20"/>
      </w:pPr>
      <w:r>
        <w:t>F.房产的高价值可能需要多种类型的融资.</w:t>
      </w:r>
      <w:r>
        <w:br/>
      </w:r>
      <w:r>
        <w:t>The high value of property may require multiple types of financing.</w:t>
      </w:r>
    </w:p>
    <w:p>
      <w:pPr>
        <w:spacing w:line="360" w:lineRule="auto" w:after="40"/>
      </w:pPr>
      <w:r>
        <w:t>答案:A、B、D、E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区分房地产被用于金融犯罪的风险与普通商业风险</w:t>
      </w:r>
    </w:p>
    <w:p>
      <w:pPr>
        <w:spacing w:before="120" w:after="40"/>
      </w:pPr>
      <w:r>
        <w:rPr>
          <w:b/>
          <w:sz w:val="21"/>
          <w:shd w:fill="D6E4F0" w:val="clear"/>
        </w:rPr>
        <w:t>核心解析：</w:t>
      </w:r>
    </w:p>
    <w:p>
      <w:pPr>
        <w:spacing w:line="360" w:lineRule="auto" w:after="40"/>
        <w:ind w:firstLine="420"/>
      </w:pPr>
      <w:r>
        <w:t>判断房地产金融犯罪风险，应关注房地产是否被用于</w:t>
      </w:r>
      <w:r>
        <w:rPr>
          <w:b/>
        </w:rPr>
        <w:t>大额资金转移、实施犯罪、隐藏实际所有权或使资金流动具有合法外观</w:t>
      </w:r>
      <w:r>
        <w:t>。房地产交易涉及大量资金，且房地产属于有形高价值资产，因此该行业具有固有洗钱风险，对应A</w:t>
      </w:r>
      <w:r>
        <w:rPr>
          <w:sz w:val="15"/>
          <w:vertAlign w:val="superscript"/>
        </w:rPr>
        <w:t>P121</w:t>
      </w:r>
      <w:r>
        <w:t>。毒品贩运属于洗钱上游犯罪</w:t>
      </w:r>
      <w:r>
        <w:rPr>
          <w:sz w:val="15"/>
          <w:vertAlign w:val="superscript"/>
        </w:rPr>
        <w:t>P16</w:t>
      </w:r>
      <w:r>
        <w:t>；B所述房产被用作毒品储存、种植、制造或分销场所，体现房地产被用于实施或便利上游犯罪，而非当然属于洗钱融合阶段。买卖或租赁房地产可通过模糊所有权结构掩饰资金来源，公司、信托或代名人持有房产且缺乏合理解释也是红旗信号，对应D</w:t>
      </w:r>
      <w:r>
        <w:rPr>
          <w:sz w:val="15"/>
          <w:vertAlign w:val="superscript"/>
        </w:rPr>
        <w:t>P121</w:t>
      </w:r>
      <w:r>
        <w:t>。房地产交易还经常涉及律师等专业第三方，其参与可能进一步使资金流动呈现合法外观，对应E</w:t>
      </w:r>
      <w:r>
        <w:rPr>
          <w:sz w:val="15"/>
          <w:vertAlign w:val="superscript"/>
        </w:rPr>
        <w:t>P121</w:t>
      </w:r>
      <w:r>
        <w:t>。故应选择A、B、D、E。</w:t>
      </w:r>
    </w:p>
    <w:p>
      <w:pPr>
        <w:spacing w:before="120" w:after="40"/>
      </w:pPr>
      <w:r>
        <w:rPr>
          <w:b/>
          <w:sz w:val="21"/>
          <w:shd w:fill="D6E4F0" w:val="clear"/>
        </w:rPr>
        <w:t>教材原句：</w:t>
      </w:r>
    </w:p>
    <w:p>
      <w:pPr>
        <w:spacing w:line="360" w:lineRule="auto" w:after="40"/>
        <w:ind w:firstLine="420"/>
      </w:pPr>
      <w:r>
        <w:t>"The real estate sector is inherently susceptible to money laundering due to the substantial sums involved in property transactions and the tangible nature of these assets."</w:t>
      </w:r>
      <w:r>
        <w:rPr>
          <w:sz w:val="15"/>
          <w:vertAlign w:val="superscript"/>
        </w:rPr>
        <w:t>P121</w:t>
      </w:r>
    </w:p>
    <w:p>
      <w:pPr>
        <w:spacing w:before="120" w:after="40"/>
      </w:pPr>
      <w:r>
        <w:rPr>
          <w:b/>
          <w:sz w:val="21"/>
          <w:shd w:fill="D6E4F0" w:val="clear"/>
        </w:rPr>
        <w:t>C项错误：</w:t>
      </w:r>
    </w:p>
    <w:p>
      <w:pPr>
        <w:spacing w:line="360" w:lineRule="auto" w:after="40"/>
        <w:ind w:firstLine="420"/>
      </w:pPr>
      <w:r>
        <w:t>市场波动和投资回报不足属于商业或投资风险。教材所述金融犯罪风险涉及大额非法资金、所有权掩饰或异常估值操纵</w:t>
      </w:r>
      <w:r>
        <w:rPr>
          <w:sz w:val="15"/>
          <w:vertAlign w:val="superscript"/>
        </w:rPr>
        <w:t>P121、P129</w:t>
      </w:r>
      <w:r>
        <w:t>；C没有犯罪利用、非法资金或异常定价等要素。正常市场波动导致回报不佳，不等同于人为将资产价格设定在高于或低于市场价值的异常估值。</w:t>
      </w:r>
    </w:p>
    <w:p>
      <w:pPr>
        <w:spacing w:before="120" w:after="40"/>
      </w:pPr>
      <w:r>
        <w:rPr>
          <w:b/>
          <w:sz w:val="21"/>
          <w:shd w:fill="D6E4F0" w:val="clear"/>
        </w:rPr>
        <w:t>F项错误：</w:t>
      </w:r>
    </w:p>
    <w:p>
      <w:pPr>
        <w:spacing w:line="360" w:lineRule="auto" w:after="40"/>
        <w:ind w:firstLine="420"/>
      </w:pPr>
      <w:r>
        <w:t>房地产价值较高，确实可能涉及多种融资方式，但融资方式多样本身不能证明存在金融犯罪。只有融资结构被用于隐藏资金来源、实际借款人或受益所有人时，才与题干所问风险直接相关；F没有这些限定。</w:t>
      </w:r>
    </w:p>
    <w:p>
      <w:pPr>
        <w:spacing w:before="120" w:after="40"/>
      </w:pPr>
      <w:r>
        <w:rPr>
          <w:b/>
          <w:sz w:val="21"/>
          <w:shd w:fill="D6E4F0" w:val="clear"/>
        </w:rPr>
        <w:t>易错提醒：</w:t>
      </w:r>
    </w:p>
    <w:p>
      <w:pPr>
        <w:spacing w:line="360" w:lineRule="auto" w:after="40"/>
        <w:ind w:firstLine="420"/>
      </w:pPr>
      <w:r>
        <w:t>房地产金融犯罪风险不限于洗钱。房产既可能被用于转移或整合非法资金</w:t>
      </w:r>
      <w:r>
        <w:rPr>
          <w:sz w:val="15"/>
          <w:vertAlign w:val="superscript"/>
        </w:rPr>
        <w:t>P121</w:t>
      </w:r>
      <w:r>
        <w:t>，也可能被用于实施上游犯罪</w:t>
      </w:r>
      <w:r>
        <w:rPr>
          <w:sz w:val="15"/>
          <w:vertAlign w:val="superscript"/>
        </w:rPr>
        <w:t>P16</w:t>
      </w:r>
      <w:r>
        <w:t>。正常市场波动和常规融资安排只有叠加非法资金、异常估值或所有权掩饰等要素后，才构成题目所问的金融犯罪风险。</w:t>
      </w:r>
    </w:p>
    <w:p>
      <w:pPr>
        <w:spacing w:line="360" w:lineRule="auto" w:after="120"/>
      </w:pPr>
      <w:r/>
    </w:p>
    <w:p>
      <w:pPr>
        <w:spacing w:line="360" w:lineRule="auto" w:after="40"/>
      </w:pPr>
      <w:r>
        <w:t>17. 与房地产交易相关的风险包括:（选择两项。）</w:t>
      </w:r>
      <w:r>
        <w:br/>
      </w:r>
      <w:r>
        <w:t>Risks associated with real estate transactions include: (Choose two.)</w:t>
      </w:r>
    </w:p>
    <w:p>
      <w:pPr>
        <w:spacing w:line="360" w:lineRule="auto" w:after="20"/>
      </w:pPr>
      <w:r>
        <w:t>A.跨境购买</w:t>
      </w:r>
      <w:r>
        <w:br/>
      </w:r>
      <w:r>
        <w:t>Cross-border purchases.</w:t>
      </w:r>
    </w:p>
    <w:p>
      <w:pPr>
        <w:spacing w:line="360" w:lineRule="auto" w:after="20"/>
      </w:pPr>
      <w:r>
        <w:t>B.以自然人名义购买</w:t>
      </w:r>
      <w:r>
        <w:br/>
      </w:r>
      <w:r>
        <w:t>Purchases in the name of a natural person.</w:t>
      </w:r>
    </w:p>
    <w:p>
      <w:pPr>
        <w:spacing w:line="360" w:lineRule="auto" w:after="20"/>
      </w:pPr>
      <w:r>
        <w:t>C.按照真实的市场价格购买房产</w:t>
      </w:r>
      <w:r>
        <w:br/>
      </w:r>
      <w:r>
        <w:t>Paying true market price for a property.</w:t>
      </w:r>
    </w:p>
    <w:p>
      <w:pPr>
        <w:spacing w:line="360" w:lineRule="auto" w:after="20"/>
      </w:pPr>
      <w:r>
        <w:t>D.无融资购买</w:t>
      </w:r>
      <w:r>
        <w:br/>
      </w:r>
      <w:r>
        <w:t>Non-financed purchases.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识别房地产交易中跨境购买与无融资购买带来的洗钱风险</w:t>
      </w:r>
    </w:p>
    <w:p>
      <w:pPr>
        <w:spacing w:before="120" w:after="40"/>
      </w:pPr>
      <w:r>
        <w:rPr>
          <w:b/>
          <w:sz w:val="21"/>
          <w:shd w:fill="D6E4F0" w:val="clear"/>
        </w:rPr>
        <w:t>核心解析：</w:t>
      </w:r>
    </w:p>
    <w:p>
      <w:pPr>
        <w:spacing w:line="360" w:lineRule="auto" w:after="40"/>
        <w:ind w:firstLine="420"/>
      </w:pPr>
      <w:r>
        <w:t>教材直接指出，</w:t>
      </w:r>
      <w:r>
        <w:rPr>
          <w:b/>
        </w:rPr>
        <w:t>国际买家和跨境交易可能掩盖非法活动</w:t>
      </w:r>
      <w:r>
        <w:t>，使房地产市场中的洗钱检测更困难</w:t>
      </w:r>
      <w:r>
        <w:rPr>
          <w:sz w:val="15"/>
          <w:vertAlign w:val="superscript"/>
        </w:rPr>
        <w:t>P122</w:t>
      </w:r>
      <w:r>
        <w:t>，因此跨境购买（A）属于明确风险。教材还指出，房地产市场中的现金交易更难追踪，全部或主要以现金支付的买家属于红旗信号</w:t>
      </w:r>
      <w:r>
        <w:rPr>
          <w:sz w:val="15"/>
          <w:vertAlign w:val="superscript"/>
        </w:rPr>
        <w:t>P122</w:t>
      </w:r>
      <w:r>
        <w:t>。未融资购买（D）本身不等于现金支付，但在给定选项中与全款、尤其现金支付的风险最接近，实际审查时仍需进一步核实付款方式。因此在本题选项中更符合的是A、D。</w:t>
      </w:r>
    </w:p>
    <w:p>
      <w:pPr>
        <w:spacing w:before="120" w:after="40"/>
      </w:pPr>
      <w:r>
        <w:rPr>
          <w:b/>
          <w:sz w:val="21"/>
          <w:shd w:fill="D6E4F0" w:val="clear"/>
        </w:rPr>
        <w:t>教材原句：</w:t>
      </w:r>
    </w:p>
    <w:p>
      <w:pPr>
        <w:spacing w:line="360" w:lineRule="auto" w:after="40"/>
        <w:ind w:firstLine="420"/>
      </w:pPr>
      <w:r>
        <w:t>"International buyers and cross-border transactions can mask illicit activities."；"Red flags include buyers who pay entirely or primarily in cash, particularly in regions where bank financing is the norm."</w:t>
      </w:r>
      <w:r>
        <w:rPr>
          <w:sz w:val="15"/>
          <w:vertAlign w:val="superscript"/>
        </w:rPr>
        <w:t>P122</w:t>
      </w:r>
    </w:p>
    <w:p>
      <w:pPr>
        <w:spacing w:before="120" w:after="40"/>
      </w:pPr>
      <w:r>
        <w:rPr>
          <w:b/>
          <w:sz w:val="21"/>
          <w:shd w:fill="D6E4F0" w:val="clear"/>
        </w:rPr>
        <w:t>B项错误：</w:t>
      </w:r>
    </w:p>
    <w:p>
      <w:pPr>
        <w:spacing w:line="360" w:lineRule="auto" w:after="40"/>
        <w:ind w:firstLine="420"/>
      </w:pPr>
      <w:r>
        <w:t>教材关注的是公司、信托或代名人等复杂所有权结构对真实所有权的遮蔽</w:t>
      </w:r>
      <w:r>
        <w:rPr>
          <w:sz w:val="15"/>
          <w:vertAlign w:val="superscript"/>
        </w:rPr>
        <w:t>P119</w:t>
      </w:r>
      <w:r>
        <w:t>；以自然人本人名义购买通常更透明，选项本身没有呈现该风险特征。</w:t>
      </w:r>
    </w:p>
    <w:p>
      <w:pPr>
        <w:spacing w:before="120" w:after="40"/>
      </w:pPr>
      <w:r>
        <w:rPr>
          <w:b/>
          <w:sz w:val="21"/>
          <w:shd w:fill="D6E4F0" w:val="clear"/>
        </w:rPr>
        <w:t>C项错误：</w:t>
      </w:r>
    </w:p>
    <w:p>
      <w:pPr>
        <w:spacing w:line="360" w:lineRule="auto" w:after="40"/>
        <w:ind w:firstLine="420"/>
      </w:pPr>
      <w:r>
        <w:t>教材列示的风险是虚增房产价值或价格偏离合理市场水平</w:t>
      </w:r>
      <w:r>
        <w:rPr>
          <w:sz w:val="15"/>
          <w:vertAlign w:val="superscript"/>
        </w:rPr>
        <w:t>P119</w:t>
      </w:r>
      <w:r>
        <w:t>。按真实市场价格购买缺少这一异常定价信号。</w:t>
      </w:r>
    </w:p>
    <w:p>
      <w:pPr>
        <w:spacing w:before="120" w:after="40"/>
      </w:pPr>
      <w:r>
        <w:rPr>
          <w:b/>
          <w:sz w:val="21"/>
          <w:shd w:fill="D6E4F0" w:val="clear"/>
        </w:rPr>
        <w:t>易错提醒：</w:t>
      </w:r>
    </w:p>
    <w:p>
      <w:pPr>
        <w:spacing w:line="360" w:lineRule="auto" w:after="40"/>
        <w:ind w:firstLine="420"/>
      </w:pPr>
      <w:r>
        <w:t>“未融资购买”不是说所有全款交易当然违法，也不必然意味着现金支付；它可能绕开常规贷款审查，因此在房地产风险识别中需要进一步核实资金来源和付款方式</w:t>
      </w:r>
      <w:r>
        <w:rPr>
          <w:sz w:val="15"/>
          <w:vertAlign w:val="superscript"/>
        </w:rPr>
        <w:t>P122</w:t>
      </w:r>
      <w:r>
        <w:t>。</w:t>
      </w:r>
    </w:p>
    <w:p>
      <w:pPr>
        <w:spacing w:line="360" w:lineRule="auto" w:after="120"/>
      </w:pPr>
      <w:r/>
    </w:p>
    <w:p>
      <w:pPr>
        <w:spacing w:line="360" w:lineRule="auto" w:after="40"/>
      </w:pPr>
      <w:r>
        <w:t>18. 根据题干给出的具体事实,以下哪两类实体最直接具有教材列出的较高洗钱风险,需要开户前额外审查？（选择两项。）</w:t>
      </w:r>
      <w:r>
        <w:br/>
      </w:r>
      <w:r>
        <w:t>Based on the facts stated, which two entities most directly match the material's higher-risk indicators and require additional review before onboarding? (Select Two.)</w:t>
      </w:r>
    </w:p>
    <w:p>
      <w:pPr>
        <w:spacing w:line="360" w:lineRule="auto" w:after="20"/>
      </w:pPr>
      <w:r>
        <w:t>A.一家拥有大量有记录的电汇业务的大型跨国公司</w:t>
      </w:r>
      <w:r>
        <w:br/>
      </w:r>
      <w:r>
        <w:t>A large multinational corporation with extensive, documented wire transfer activity.</w:t>
      </w:r>
    </w:p>
    <w:p>
      <w:pPr>
        <w:spacing w:line="360" w:lineRule="auto" w:after="20"/>
      </w:pPr>
      <w:r>
        <w:t>B.一家当地便利店,从其收银机中取出现金为现场的自动取款机(ATM)补充现金.</w:t>
      </w:r>
      <w:r>
        <w:br/>
      </w:r>
      <w:r>
        <w:t>A local convenience store that replenishes the on-site automated teller machine (ATM) with cash from its till.</w:t>
      </w:r>
    </w:p>
    <w:p>
      <w:pPr>
        <w:spacing w:line="360" w:lineRule="auto" w:after="20"/>
      </w:pPr>
      <w:r>
        <w:t>C.一家当地的二手车销售店,允许个人用现金支付每月账单</w:t>
      </w:r>
      <w:r>
        <w:br/>
      </w:r>
      <w:r>
        <w:t>A local used car sales lot that allows individuals to pay their monthly bill in cash.</w:t>
      </w:r>
    </w:p>
    <w:p>
      <w:pPr>
        <w:spacing w:line="360" w:lineRule="auto" w:after="20"/>
      </w:pPr>
      <w:r>
        <w:t>D.一家虚拟资产服务提供商(VASP),为点对点加密货币交易提供便利</w:t>
      </w:r>
      <w:r>
        <w:br/>
      </w:r>
      <w:r>
        <w:t>A virtual asset service provider (VASP) facilitating peer-to-peer cryptocurrency transactions.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识别高现金依赖与VASP等特定行业类别所固有的洗钱风险</w:t>
      </w:r>
    </w:p>
    <w:p>
      <w:pPr>
        <w:spacing w:before="120" w:after="40"/>
      </w:pPr>
      <w:r>
        <w:rPr>
          <w:b/>
          <w:sz w:val="21"/>
          <w:shd w:fill="D6E4F0" w:val="clear"/>
        </w:rPr>
        <w:t>核心解析：</w:t>
      </w:r>
    </w:p>
    <w:p>
      <w:pPr>
        <w:spacing w:line="360" w:lineRule="auto" w:after="40"/>
        <w:ind w:firstLine="420"/>
      </w:pPr>
      <w:r>
        <w:t>教材指出</w:t>
      </w:r>
      <w:r>
        <w:rPr>
          <w:b/>
        </w:rPr>
        <w:t>现金较难追踪</w:t>
      </w:r>
      <w:r>
        <w:t>，会增加洗钱可能性</w:t>
      </w:r>
      <w:r>
        <w:rPr>
          <w:sz w:val="15"/>
          <w:vertAlign w:val="superscript"/>
        </w:rPr>
        <w:t>P122</w:t>
      </w:r>
      <w:r>
        <w:t>；同时，</w:t>
      </w:r>
      <w:r>
        <w:rPr>
          <w:b/>
        </w:rPr>
        <w:t>VASP</w:t>
      </w:r>
      <w:r>
        <w:t xml:space="preserve"> 涉及虚拟资产交易，在许多司法管辖区受到严格监管</w:t>
      </w:r>
      <w:r>
        <w:rPr>
          <w:sz w:val="15"/>
          <w:vertAlign w:val="superscript"/>
        </w:rPr>
        <w:t>P444</w:t>
      </w:r>
      <w:r>
        <w:t>。在本题给出的实体特征中，C 的二手车销售场景允许个人以现金持续付款，直接叠加了高价值资产和现金不可追踪性；D 则直接属于受重点监管的 VASP 类别。A 的电汇有记录，题干没有给出异常来源、异常金额或高风险辖区；B 的便利店用收银现金补充现场 ATM，教材将这类现金流视为高现金业务的常规经营模式。因此 C、D 比 A、B 更直接满足“开户前额外审查”的题干条件。</w:t>
      </w:r>
    </w:p>
    <w:p>
      <w:pPr>
        <w:spacing w:before="120" w:after="40"/>
      </w:pPr>
      <w:r>
        <w:rPr>
          <w:b/>
          <w:sz w:val="21"/>
          <w:shd w:fill="D6E4F0" w:val="clear"/>
        </w:rPr>
        <w:t>教材原句：</w:t>
      </w:r>
    </w:p>
    <w:p>
      <w:pPr>
        <w:spacing w:line="360" w:lineRule="auto" w:after="40"/>
        <w:ind w:firstLine="420"/>
      </w:pPr>
      <w:r>
        <w:t>"Cash transactions remain relatively common in some markets and increase the potential for money laundering, as cash is more challenging to trace than payments made through financial institutions."</w:t>
      </w:r>
      <w:r>
        <w:rPr>
          <w:sz w:val="15"/>
          <w:vertAlign w:val="superscript"/>
        </w:rPr>
        <w:t>P122</w:t>
      </w:r>
    </w:p>
    <w:p>
      <w:pPr>
        <w:spacing w:before="120" w:after="40"/>
      </w:pPr>
      <w:r>
        <w:rPr>
          <w:b/>
          <w:sz w:val="21"/>
          <w:shd w:fill="D6E4F0" w:val="clear"/>
        </w:rPr>
        <w:t>A项错误：</w:t>
      </w:r>
    </w:p>
    <w:p>
      <w:pPr>
        <w:spacing w:line="360" w:lineRule="auto" w:after="40"/>
        <w:ind w:firstLine="420"/>
      </w:pPr>
      <w:r>
        <w:t>跨国公司和大量电汇业务并不自动等于低风险，但题干强调交易已有记录，也没有给出资金来源异常、高风险交易对手或无法解释的流量；相较C、D，风险触发条件不足。</w:t>
      </w:r>
    </w:p>
    <w:p>
      <w:pPr>
        <w:spacing w:before="120" w:after="40"/>
      </w:pPr>
      <w:r>
        <w:rPr>
          <w:b/>
          <w:sz w:val="21"/>
          <w:shd w:fill="D6E4F0" w:val="clear"/>
        </w:rPr>
        <w:t>B项错误：</w:t>
      </w:r>
    </w:p>
    <w:p>
      <w:pPr>
        <w:spacing w:line="360" w:lineRule="auto" w:after="40"/>
        <w:ind w:firstLine="420"/>
      </w:pPr>
      <w:r>
        <w:t>便利店属于典型现金密集型业务，频繁现金存取可能是可预期的经营行为。题干没有出现现金规模与营业额不符、异常第三方资金或其他矛盾事实，因此单凭为现场ATM补充现金不足以优先判断为高风险。</w:t>
      </w:r>
    </w:p>
    <w:p>
      <w:pPr>
        <w:spacing w:before="120" w:after="40"/>
      </w:pPr>
      <w:r>
        <w:rPr>
          <w:b/>
          <w:sz w:val="21"/>
          <w:shd w:fill="D6E4F0" w:val="clear"/>
        </w:rPr>
        <w:t>易错提醒：</w:t>
      </w:r>
    </w:p>
    <w:p>
      <w:pPr>
        <w:spacing w:line="360" w:lineRule="auto" w:after="40"/>
        <w:ind w:firstLine="420"/>
      </w:pPr>
      <w:r>
        <w:t>需要区分“常规现金密集型行业”与“现金滥用型高风险行业”。对于便利店、餐馆等“高现金企业”（cash-intensive businesses），因其商业模式本身依赖现金，日常现金流水通常被视为低风险预期行为</w:t>
      </w:r>
      <w:r>
        <w:rPr>
          <w:sz w:val="15"/>
          <w:vertAlign w:val="superscript"/>
        </w:rPr>
        <w:t>P108</w:t>
      </w:r>
      <w:r>
        <w:t>。但对于二手车行这类能接收大额月度现金支付的实体，现金极易脱离业务背景成为黑钱混入的工具，属于高洗钱风险信号</w:t>
      </w:r>
      <w:r>
        <w:rPr>
          <w:sz w:val="15"/>
          <w:vertAlign w:val="superscript"/>
        </w:rPr>
        <w:t>P122</w:t>
      </w:r>
      <w:r>
        <w:t>。</w:t>
      </w:r>
    </w:p>
    <w:p>
      <w:pPr>
        <w:spacing w:line="360" w:lineRule="auto" w:after="120"/>
      </w:pPr>
      <w:r/>
    </w:p>
    <w:p>
      <w:pPr>
        <w:spacing w:line="360" w:lineRule="auto" w:after="40"/>
      </w:pPr>
      <w:r>
        <w:t>19. 在完成豪华房地产购买时,以下哪两项属于教材直接列出的洗钱警示信号？（选择两项。）</w:t>
      </w:r>
      <w:r>
        <w:br/>
      </w:r>
      <w:r>
        <w:t>When completing a luxury real estate purchase, which two situations are direct real estate money laundering red flags in the material? (Select Two.)</w:t>
      </w:r>
    </w:p>
    <w:p>
      <w:pPr>
        <w:spacing w:line="360" w:lineRule="auto" w:after="20"/>
      </w:pPr>
      <w:r>
        <w:t>A.使用所有权透明且具有合理商业目的的公司或信托购买.</w:t>
      </w:r>
      <w:r>
        <w:br/>
      </w:r>
      <w:r>
        <w:t>Using a company or trust with transparent ownership and a legitimate business purpose to make the purchase.</w:t>
      </w:r>
    </w:p>
    <w:p>
      <w:pPr>
        <w:spacing w:line="360" w:lineRule="auto" w:after="20"/>
      </w:pPr>
      <w:r>
        <w:t>B.以不相关的第三方名义购买.</w:t>
      </w:r>
      <w:r>
        <w:br/>
      </w:r>
      <w:r>
        <w:t>In the names of unrelated third parties.</w:t>
      </w:r>
    </w:p>
    <w:p>
      <w:pPr>
        <w:spacing w:line="360" w:lineRule="auto" w:after="20"/>
      </w:pPr>
      <w:r>
        <w:t>C.在银行融资通常存在的地区,使用出售前一套房产或变现投资的所得进行全现金购房</w:t>
      </w:r>
      <w:r>
        <w:br/>
      </w:r>
      <w:r>
        <w:t>In a region where bank financing is the norm, using proceeds from a prior property sale or liquidated investments to make an all-cash purchase.</w:t>
      </w:r>
    </w:p>
    <w:p>
      <w:pPr>
        <w:spacing w:line="360" w:lineRule="auto" w:after="20"/>
      </w:pPr>
      <w:r>
        <w:t>D.使用法人实体和中介机构,且已公开披露并合理解释其合法隐私安排.</w:t>
      </w:r>
      <w:r>
        <w:br/>
      </w:r>
      <w:r>
        <w:t>Using legal entities and intermediaries with transparent disclosure and a reasonable explanation for a legitimate privacy arrangement.</w:t>
      </w:r>
    </w:p>
    <w:p>
      <w:pPr>
        <w:spacing w:line="360" w:lineRule="auto" w:after="20"/>
      </w:pPr>
      <w:r>
        <w:t>E.利用以现金或定期存款单作担保的贷款.</w:t>
      </w:r>
      <w:r>
        <w:br/>
      </w:r>
      <w:r>
        <w:t>Using loans backed by cash or certificates of deposit.</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识别通过名义第三方或壳公司隐藏真实买家的房地产洗钱警示信号</w:t>
      </w:r>
    </w:p>
    <w:p>
      <w:pPr>
        <w:spacing w:before="120" w:after="40"/>
      </w:pPr>
      <w:r>
        <w:rPr>
          <w:b/>
          <w:sz w:val="21"/>
          <w:shd w:fill="D6E4F0" w:val="clear"/>
        </w:rPr>
        <w:t>核心解析：</w:t>
      </w:r>
    </w:p>
    <w:p>
      <w:pPr>
        <w:spacing w:line="360" w:lineRule="auto" w:after="40"/>
        <w:ind w:firstLine="420"/>
      </w:pPr>
      <w:r>
        <w:t>房地产洗钱的警示信号既包括</w:t>
      </w:r>
      <w:r>
        <w:rPr>
          <w:b/>
        </w:rPr>
        <w:t>买方身份和所有权结构异常</w:t>
      </w:r>
      <w:r>
        <w:t xml:space="preserve">，也包括在融资通常存在的地区由买方全部或主要以现金支付（P121-P122）。选项B的“不相关第三方名义”直接对应 </w:t>
      </w:r>
      <w:r>
        <w:rPr>
          <w:b/>
        </w:rPr>
        <w:t>nominee 买家</w:t>
      </w:r>
      <w:r>
        <w:t>；选项C的全现金购买直接对应</w:t>
      </w:r>
      <w:r>
        <w:rPr>
          <w:b/>
        </w:rPr>
        <w:t>现金支付红旗</w:t>
      </w:r>
      <w:r>
        <w:t>，题干英文进一步说明现金来自出售房产或变现投资，但这并不消除“全现金支付”这一交易形式的风险指示性。A、D都只说使用公司、信托、法人实体或中介来保护隐私，未给出教材要求的“缺乏合理解释”或不相关名义人条件，因此在本题条件下不如 B、C 直接。</w:t>
      </w:r>
    </w:p>
    <w:p>
      <w:pPr>
        <w:spacing w:before="120" w:after="40"/>
      </w:pPr>
      <w:r>
        <w:rPr>
          <w:b/>
          <w:sz w:val="21"/>
          <w:shd w:fill="D6E4F0" w:val="clear"/>
        </w:rPr>
        <w:t>教材原句：</w:t>
      </w:r>
    </w:p>
    <w:p>
      <w:pPr>
        <w:spacing w:line="360" w:lineRule="auto" w:after="40"/>
        <w:ind w:firstLine="420"/>
      </w:pPr>
      <w:r>
        <w:t>"For example, properties acquired by corporate entities, trusts, or nominees without a clear justification as to why they were not purchased directly by an individual are red flags."</w:t>
      </w:r>
      <w:r>
        <w:rPr>
          <w:sz w:val="15"/>
          <w:vertAlign w:val="superscript"/>
        </w:rPr>
        <w:t>P121</w:t>
      </w:r>
    </w:p>
    <w:p>
      <w:pPr>
        <w:spacing w:before="120" w:after="40"/>
      </w:pPr>
      <w:r>
        <w:rPr>
          <w:b/>
          <w:sz w:val="21"/>
          <w:shd w:fill="D6E4F0" w:val="clear"/>
        </w:rPr>
        <w:t>A项错误：</w:t>
      </w:r>
    </w:p>
    <w:p>
      <w:pPr>
        <w:spacing w:line="360" w:lineRule="auto" w:after="40"/>
        <w:ind w:firstLine="420"/>
      </w:pPr>
      <w:r>
        <w:t>公司或信托购买房产在缺乏合理解释时才更接近红旗</w:t>
      </w:r>
      <w:r>
        <w:rPr>
          <w:sz w:val="15"/>
          <w:vertAlign w:val="superscript"/>
        </w:rPr>
        <w:t>P121</w:t>
      </w:r>
      <w:r>
        <w:t>；A明确说明所有权透明且具有合理商业目的，不具备所有权遮蔽或缺乏解释的异常特征。</w:t>
      </w:r>
    </w:p>
    <w:p>
      <w:pPr>
        <w:spacing w:before="120" w:after="40"/>
      </w:pPr>
      <w:r>
        <w:rPr>
          <w:b/>
          <w:sz w:val="21"/>
          <w:shd w:fill="D6E4F0" w:val="clear"/>
        </w:rPr>
        <w:t>D项错误：</w:t>
      </w:r>
    </w:p>
    <w:p>
      <w:pPr>
        <w:spacing w:line="360" w:lineRule="auto" w:after="40"/>
        <w:ind w:firstLine="420"/>
      </w:pPr>
      <w:r>
        <w:t>使用法人实体或中介只有在缺乏合理解释、掩盖真实所有权等条件下才更接近红旗</w:t>
      </w:r>
      <w:r>
        <w:rPr>
          <w:sz w:val="15"/>
          <w:vertAlign w:val="superscript"/>
        </w:rPr>
        <w:t>P121</w:t>
      </w:r>
      <w:r>
        <w:t>；D强调安排已公开披露且有合理解释，风险指示性较弱。</w:t>
      </w:r>
    </w:p>
    <w:p>
      <w:pPr>
        <w:spacing w:before="120" w:after="40"/>
      </w:pPr>
      <w:r>
        <w:rPr>
          <w:b/>
          <w:sz w:val="21"/>
          <w:shd w:fill="D6E4F0" w:val="clear"/>
        </w:rPr>
        <w:t>E项错误：</w:t>
      </w:r>
    </w:p>
    <w:p>
      <w:pPr>
        <w:spacing w:line="360" w:lineRule="auto" w:after="40"/>
        <w:ind w:firstLine="420"/>
      </w:pPr>
      <w:r>
        <w:t>现金或存单担保贷款可能在其他信贷洗钱场景中需要关注，但E没有给出缺乏经济理由、异常提前还款或资金来源可疑等事实，与B、C所述房地产红旗相比不够直接。</w:t>
      </w:r>
    </w:p>
    <w:p>
      <w:pPr>
        <w:spacing w:before="120" w:after="40"/>
      </w:pPr>
      <w:r>
        <w:rPr>
          <w:b/>
          <w:sz w:val="21"/>
          <w:shd w:fill="D6E4F0" w:val="clear"/>
        </w:rPr>
        <w:t>易错提醒：</w:t>
      </w:r>
    </w:p>
    <w:p>
      <w:pPr>
        <w:spacing w:line="360" w:lineRule="auto" w:after="40"/>
        <w:ind w:firstLine="420"/>
      </w:pPr>
      <w:r>
        <w:t>判断公司、信托或中介安排是否构成房地产红旗，关键不在于是否使用这些结构，而在于该结构是否缺乏合理解释、是否隐藏真实买方或受益所有人</w:t>
      </w:r>
      <w:r>
        <w:rPr>
          <w:sz w:val="15"/>
          <w:vertAlign w:val="superscript"/>
        </w:rPr>
        <w:t>P121</w:t>
      </w:r>
      <w:r>
        <w:t>。B明确使用不相关第三方名义，身份链条出现断裂；A、D则强调所有权透明并有合理解释，风险指示性较弱。</w:t>
      </w:r>
    </w:p>
    <w:p>
      <w:pPr>
        <w:spacing w:line="360" w:lineRule="auto" w:after="120"/>
      </w:pPr>
      <w:r/>
    </w:p>
    <w:p>
      <w:pPr>
        <w:spacing w:line="360" w:lineRule="auto" w:after="40"/>
      </w:pPr>
      <w:r>
        <w:t>20. 信托和公司服务提供商（TCSPs）提供的哪些服务存在最大的金融犯罪风险？（选择三项。）</w:t>
      </w:r>
      <w:r>
        <w:br/>
      </w:r>
      <w:r>
        <w:t>Which of the services provided by Trust and Company Service Providers (TCSPs) present the greatest financial crime risks? (Choose three.)</w:t>
      </w:r>
    </w:p>
    <w:p>
      <w:pPr>
        <w:spacing w:line="360" w:lineRule="auto" w:after="20"/>
      </w:pPr>
      <w:r>
        <w:t>A.提供明确的程序以确保遵守当地税收法规</w:t>
      </w:r>
      <w:r>
        <w:br/>
      </w:r>
      <w:r>
        <w:t>Providing clear procedures to ensure compliance with local tax regulations</w:t>
      </w:r>
    </w:p>
    <w:p>
      <w:pPr>
        <w:spacing w:line="360" w:lineRule="auto" w:after="20"/>
      </w:pPr>
      <w:r>
        <w:t>B.利用信托掩盖受益所有人的身份</w:t>
      </w:r>
      <w:r>
        <w:br/>
      </w:r>
      <w:r>
        <w:t>Using trusts to obscure the identity of beneficial owners</w:t>
      </w:r>
    </w:p>
    <w:p>
      <w:pPr>
        <w:spacing w:line="360" w:lineRule="auto" w:after="20"/>
      </w:pPr>
      <w:r>
        <w:t>C.推广使用复杂的公司结构</w:t>
      </w:r>
      <w:r>
        <w:br/>
      </w:r>
      <w:r>
        <w:t>Promoting the use of complex corporate structures</w:t>
      </w:r>
    </w:p>
    <w:p>
      <w:pPr>
        <w:spacing w:line="360" w:lineRule="auto" w:after="20"/>
      </w:pPr>
      <w:r>
        <w:t>D.为所有注册其服务的客户维护准确且最新的受益所有权详情</w:t>
      </w:r>
      <w:r>
        <w:br/>
      </w:r>
      <w:r>
        <w:t>Maintaining accurate and updated beneficial ownership details for all customers registered for their services</w:t>
      </w:r>
    </w:p>
    <w:p>
      <w:pPr>
        <w:spacing w:line="360" w:lineRule="auto" w:after="20"/>
      </w:pPr>
      <w:r>
        <w:t>E.设立空壳公司以持有金融资产</w:t>
      </w:r>
      <w:r>
        <w:br/>
      </w:r>
      <w:r>
        <w:t>Establishing shell companies for holding financial assets</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识别TCSP业务中掩盖受益所有权与利用复杂结构的高风险特征</w:t>
      </w:r>
    </w:p>
    <w:p>
      <w:pPr>
        <w:spacing w:before="120" w:after="40"/>
      </w:pPr>
      <w:r>
        <w:rPr>
          <w:b/>
          <w:sz w:val="21"/>
          <w:shd w:fill="D6E4F0" w:val="clear"/>
        </w:rPr>
        <w:t>核心解析：</w:t>
      </w:r>
    </w:p>
    <w:p>
      <w:pPr>
        <w:spacing w:line="360" w:lineRule="auto" w:after="40"/>
        <w:ind w:firstLine="420"/>
      </w:pPr>
      <w:r>
        <w:t>信托与公司服务提供商（TCSP）业务范围包括设立壳公司、提供名义服务等</w:t>
      </w:r>
      <w:r>
        <w:rPr>
          <w:sz w:val="15"/>
          <w:vertAlign w:val="superscript"/>
        </w:rPr>
        <w:t>P120、P126</w:t>
      </w:r>
      <w:r>
        <w:t>。教材明确，TCSP创建的结构会</w:t>
      </w:r>
      <w:r>
        <w:rPr>
          <w:b/>
        </w:rPr>
        <w:t>掩盖受益所有人和资金来源</w:t>
      </w:r>
      <w:r>
        <w:t>，对寻求洗钱者极具吸引力</w:t>
      </w:r>
      <w:r>
        <w:rPr>
          <w:sz w:val="15"/>
          <w:vertAlign w:val="superscript"/>
        </w:rPr>
        <w:t>P126</w:t>
      </w:r>
      <w:r>
        <w:t>，律师和TCSP会通过创建</w:t>
      </w:r>
      <w:r>
        <w:rPr>
          <w:b/>
        </w:rPr>
        <w:t>复杂的公司结构</w:t>
      </w:r>
      <w:r>
        <w:t>来掩盖资金来源</w:t>
      </w:r>
      <w:r>
        <w:rPr>
          <w:sz w:val="15"/>
          <w:vertAlign w:val="superscript"/>
        </w:rPr>
        <w:t>P120</w:t>
      </w:r>
      <w:r>
        <w:t>。题干问TCSP提供的哪些服务存在最大的金融犯罪风险，选项B“利用信托掩盖受益所有人的身份”、选项C“推广使用复杂的公司结构”、选项E“设立空壳公司以持有金融资产”正好对应TCSP最常被滥用的高风险服务特征，三者直接体现了</w:t>
      </w:r>
      <w:r>
        <w:rPr>
          <w:b/>
        </w:rPr>
        <w:t>掩盖所有权、模糊资金来源</w:t>
      </w:r>
      <w:r>
        <w:t>的核心风险，故为正确项。</w:t>
      </w:r>
    </w:p>
    <w:p>
      <w:pPr>
        <w:spacing w:before="120" w:after="40"/>
      </w:pPr>
      <w:r>
        <w:rPr>
          <w:b/>
          <w:sz w:val="21"/>
          <w:shd w:fill="D6E4F0" w:val="clear"/>
        </w:rPr>
        <w:t>教材原句：</w:t>
      </w:r>
    </w:p>
    <w:p>
      <w:pPr>
        <w:spacing w:line="360" w:lineRule="auto" w:after="40"/>
        <w:ind w:firstLine="420"/>
      </w:pPr>
      <w:r>
        <w:t>"Trust or company service providers: These providers create structures that obscure beneficial ownership and the origin of funds, making them attractive to individuals seeking to launder money."</w:t>
      </w:r>
      <w:r>
        <w:rPr>
          <w:sz w:val="15"/>
          <w:vertAlign w:val="superscript"/>
        </w:rPr>
        <w:t>P126</w:t>
      </w:r>
    </w:p>
    <w:p>
      <w:pPr>
        <w:spacing w:before="120" w:after="40"/>
      </w:pPr>
      <w:r>
        <w:rPr>
          <w:b/>
          <w:sz w:val="21"/>
          <w:shd w:fill="D6E4F0" w:val="clear"/>
        </w:rPr>
        <w:t>A项错误：</w:t>
      </w:r>
    </w:p>
    <w:p>
      <w:pPr>
        <w:spacing w:line="360" w:lineRule="auto" w:after="40"/>
        <w:ind w:firstLine="420"/>
      </w:pPr>
      <w:r>
        <w:t>明确的税务合规程序本质上是风险管控措施，而非金融犯罪风险的来源。题干所问的是风险最大的服务，相比直接涉及掩盖所有权的B、C、E，A的匹配度明显更低。</w:t>
      </w:r>
    </w:p>
    <w:p>
      <w:pPr>
        <w:spacing w:before="120" w:after="40"/>
      </w:pPr>
      <w:r>
        <w:rPr>
          <w:b/>
          <w:sz w:val="21"/>
          <w:shd w:fill="D6E4F0" w:val="clear"/>
        </w:rPr>
        <w:t>D项错误：</w:t>
      </w:r>
    </w:p>
    <w:p>
      <w:pPr>
        <w:spacing w:line="360" w:lineRule="auto" w:after="40"/>
        <w:ind w:firstLine="420"/>
      </w:pPr>
      <w:r>
        <w:t>FATF建议要求确保主管机关能获取准确、最新的受益所有人信息，以增强透明度</w:t>
      </w:r>
      <w:r>
        <w:rPr>
          <w:sz w:val="15"/>
          <w:vertAlign w:val="superscript"/>
        </w:rPr>
        <w:t>P117、P149</w:t>
      </w:r>
      <w:r>
        <w:t>。维护受益所有权详情是防范洗钱的合规动作，属于降低风险而非产生风险的服务。它与掩盖受益所有人的方向相反，不符合题干对“风险最大”的要求。</w:t>
      </w:r>
    </w:p>
    <w:p>
      <w:pPr>
        <w:spacing w:before="120" w:after="40"/>
      </w:pPr>
      <w:r>
        <w:rPr>
          <w:b/>
          <w:sz w:val="21"/>
          <w:shd w:fill="D6E4F0" w:val="clear"/>
        </w:rPr>
        <w:t>易错提醒：</w:t>
      </w:r>
    </w:p>
    <w:p>
      <w:pPr>
        <w:spacing w:line="360" w:lineRule="auto" w:after="40"/>
        <w:ind w:firstLine="420"/>
      </w:pPr>
      <w:r>
        <w:t>区分风险表现与风险控制：掩盖受益所有人（B）、推广复杂结构（C）、设立壳公司（E）是TCSP业务被滥用的典型风险表现</w:t>
      </w:r>
      <w:r>
        <w:rPr>
          <w:sz w:val="15"/>
          <w:vertAlign w:val="superscript"/>
        </w:rPr>
        <w:t>P120、P126</w:t>
      </w:r>
      <w:r>
        <w:t>；维护准确的受益所有权详情（D）和提供税务合规程序（A）则旨在提高透明度、降低风险</w:t>
      </w:r>
      <w:r>
        <w:rPr>
          <w:sz w:val="15"/>
          <w:vertAlign w:val="superscript"/>
        </w:rPr>
        <w:t>P117、P149</w:t>
      </w:r>
      <w:r>
        <w:t>。</w:t>
      </w:r>
    </w:p>
    <w:p>
      <w:pPr>
        <w:spacing w:line="360" w:lineRule="auto" w:after="120"/>
      </w:pPr>
      <w:r/>
    </w:p>
    <w:p>
      <w:pPr>
        <w:spacing w:line="360" w:lineRule="auto" w:after="40"/>
      </w:pPr>
      <w:r>
        <w:t>21. 以下哪种公司结构由于透明度降低而具有更高的洗钱风险？（选择三项。）</w:t>
      </w:r>
      <w:r>
        <w:br/>
      </w:r>
      <w:r>
        <w:t>Which of the following corporate structures present a higher money laundering risk because of reduced transparency? (Select Three.)</w:t>
      </w:r>
    </w:p>
    <w:p>
      <w:pPr>
        <w:spacing w:line="360" w:lineRule="auto" w:after="20"/>
      </w:pPr>
      <w:r>
        <w:t>A.在外国司法管辖区注册成立的有限责任公司</w:t>
      </w:r>
      <w:r>
        <w:br/>
      </w:r>
      <w:r>
        <w:t>A limited liability company incorporated in a foreign jurisdiction</w:t>
      </w:r>
    </w:p>
    <w:p>
      <w:pPr>
        <w:spacing w:line="360" w:lineRule="auto" w:after="20"/>
      </w:pPr>
      <w:r>
        <w:t>B.一家在避税天堂管辖区没有任何业务活动的私营公司</w:t>
      </w:r>
      <w:r>
        <w:br/>
      </w:r>
      <w:r>
        <w:t>A private company that has no activity in a tax haven jurisdiction</w:t>
      </w:r>
    </w:p>
    <w:p>
      <w:pPr>
        <w:spacing w:line="360" w:lineRule="auto" w:after="20"/>
      </w:pPr>
      <w:r>
        <w:t>C.在当地司法管辖区设有代名股东和董事的公司</w:t>
      </w:r>
      <w:r>
        <w:br/>
      </w:r>
      <w:r>
        <w:t>A company with nominee shareholders and directors in a local jurisdiction</w:t>
      </w:r>
    </w:p>
    <w:p>
      <w:pPr>
        <w:spacing w:line="360" w:lineRule="auto" w:after="20"/>
      </w:pPr>
      <w:r>
        <w:t>D.一家在避税天堂司法管辖区注册成立的无记名股票公司</w:t>
      </w:r>
      <w:r>
        <w:br/>
      </w:r>
      <w:r>
        <w:t>A company with bearer shares incorporated in a tax haven jurisdiction</w:t>
      </w:r>
    </w:p>
    <w:p>
      <w:pPr>
        <w:spacing w:line="360" w:lineRule="auto" w:after="20"/>
      </w:pPr>
      <w:r>
        <w:t>E.一家在设有严格保密法的避税天堂司法管辖区注册成立的私人投资公司</w:t>
      </w:r>
      <w:r>
        <w:br/>
      </w:r>
      <w:r>
        <w:t>A private investment company incorporated in a tax haven jurisdiction with strict secrecy laws</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识别因受益所有权透明度下降而增加洗钱风险的公司结构。</w:t>
      </w:r>
    </w:p>
    <w:p>
      <w:pPr>
        <w:spacing w:before="120" w:after="40"/>
      </w:pPr>
      <w:r>
        <w:rPr>
          <w:b/>
          <w:sz w:val="21"/>
          <w:shd w:fill="D6E4F0" w:val="clear"/>
        </w:rPr>
        <w:t>核心解析：</w:t>
      </w:r>
    </w:p>
    <w:p>
      <w:pPr>
        <w:spacing w:line="360" w:lineRule="auto" w:after="40"/>
        <w:ind w:firstLine="420"/>
      </w:pPr>
      <w:r>
        <w:t>题干要求选择三种因透明度降低而具有较高风险的结构。C的</w:t>
      </w:r>
      <w:r>
        <w:rPr>
          <w:b/>
        </w:rPr>
        <w:t>代名股东和董事</w:t>
      </w:r>
      <w:r>
        <w:t>可能把实际控制人隐藏在名义人之后</w:t>
      </w:r>
      <w:r>
        <w:rPr>
          <w:sz w:val="15"/>
          <w:vertAlign w:val="superscript"/>
        </w:rPr>
        <w:t>P127</w:t>
      </w:r>
      <w:r>
        <w:t>；D的</w:t>
      </w:r>
      <w:r>
        <w:rPr>
          <w:b/>
        </w:rPr>
        <w:t>不记名股票</w:t>
      </w:r>
      <w:r>
        <w:t>以持有为权利基础，难以确认真实持有人</w:t>
      </w:r>
      <w:r>
        <w:rPr>
          <w:sz w:val="15"/>
          <w:vertAlign w:val="superscript"/>
        </w:rPr>
        <w:t>P55</w:t>
      </w:r>
      <w:r>
        <w:t>；E同时包含避税天堂、私人投资公司和严格保密法，进一步削弱受益所有权信息的可得性</w:t>
      </w:r>
      <w:r>
        <w:rPr>
          <w:sz w:val="15"/>
          <w:vertAlign w:val="superscript"/>
        </w:rPr>
        <w:t>P71</w:t>
      </w:r>
      <w:r>
        <w:t>。因此答案为C、D、E（FATF建议24、25）。</w:t>
      </w:r>
    </w:p>
    <w:p>
      <w:pPr>
        <w:spacing w:line="360" w:lineRule="auto" w:after="40"/>
        <w:ind w:firstLine="420"/>
      </w:pPr>
      <w:r>
        <w:t>A仅说明在外国司法管辖区注册，外国注册本身不意味着透明度必然降低；B虽然提到避税天堂，但“没有任何业务活动”不是受益所有权被遮蔽的直接机制。</w:t>
      </w:r>
    </w:p>
    <w:p>
      <w:pPr>
        <w:spacing w:before="120" w:after="40"/>
      </w:pPr>
      <w:r>
        <w:rPr>
          <w:b/>
          <w:sz w:val="21"/>
          <w:shd w:fill="D6E4F0" w:val="clear"/>
        </w:rPr>
        <w:t>A项错误：</w:t>
      </w:r>
    </w:p>
    <w:p>
      <w:pPr>
        <w:spacing w:line="360" w:lineRule="auto" w:after="40"/>
        <w:ind w:firstLine="420"/>
      </w:pPr>
      <w:r>
        <w:t>跨境注册可能增加尽调复杂度，但没有给出保密法、代名人或不记名股票等具体透明度障碍。</w:t>
      </w:r>
    </w:p>
    <w:p>
      <w:pPr>
        <w:spacing w:before="120" w:after="40"/>
      </w:pPr>
      <w:r>
        <w:rPr>
          <w:b/>
          <w:sz w:val="21"/>
          <w:shd w:fill="D6E4F0" w:val="clear"/>
        </w:rPr>
        <w:t>B项错误：</w:t>
      </w:r>
    </w:p>
    <w:p>
      <w:pPr>
        <w:spacing w:line="360" w:lineRule="auto" w:after="40"/>
        <w:ind w:firstLine="420"/>
      </w:pPr>
      <w:r>
        <w:t>无业务活动可能提示空壳风险，但单独不足以证明受益所有权信息不可得。</w:t>
      </w:r>
    </w:p>
    <w:p>
      <w:pPr>
        <w:spacing w:before="120" w:after="40"/>
      </w:pPr>
      <w:r>
        <w:rPr>
          <w:b/>
          <w:sz w:val="21"/>
          <w:shd w:fill="D6E4F0" w:val="clear"/>
        </w:rPr>
        <w:t>易错提醒：</w:t>
      </w:r>
    </w:p>
    <w:p>
      <w:pPr>
        <w:spacing w:line="360" w:lineRule="auto" w:after="40"/>
        <w:ind w:firstLine="420"/>
      </w:pPr>
      <w:r>
        <w:t>要区分“外国注册/避税天堂标签”与真正造成透明度下降的机制；优先识别代名安排、不记名股票和保密法</w:t>
      </w:r>
      <w:r>
        <w:rPr>
          <w:sz w:val="15"/>
          <w:vertAlign w:val="superscript"/>
        </w:rPr>
        <w:t>P55、P71、P127</w:t>
      </w:r>
      <w:r>
        <w:t>。</w:t>
      </w:r>
    </w:p>
    <w:p>
      <w:pPr>
        <w:spacing w:line="360" w:lineRule="auto" w:after="120"/>
      </w:pPr>
      <w:r/>
    </w:p>
    <w:p>
      <w:pPr>
        <w:spacing w:line="360" w:lineRule="auto" w:after="40"/>
      </w:pPr>
      <w:r>
        <w:t>22. 哪些关键的金融犯罪风险与远程博彩行业直接相关？（选择三项。）</w:t>
      </w:r>
      <w:r>
        <w:br/>
      </w:r>
      <w:r>
        <w:t>Which key financial crime risks relate to the remote gambling sector specifically? (Select three.)</w:t>
      </w:r>
    </w:p>
    <w:p>
      <w:pPr>
        <w:spacing w:line="360" w:lineRule="auto" w:after="20"/>
      </w:pPr>
      <w:r>
        <w:t>A.客户未亲自到场进行身份验证。</w:t>
      </w:r>
      <w:r>
        <w:br/>
      </w:r>
      <w:r>
        <w:t>Customers not being physically present for identification purposes.</w:t>
      </w:r>
    </w:p>
    <w:p>
      <w:pPr>
        <w:spacing w:line="360" w:lineRule="auto" w:after="20"/>
      </w:pPr>
      <w:r>
        <w:t>B.存入大量现金的客户。</w:t>
      </w:r>
      <w:r>
        <w:br/>
      </w:r>
      <w:r>
        <w:t>Customers depositing large amounts of cash.</w:t>
      </w:r>
    </w:p>
    <w:p>
      <w:pPr>
        <w:spacing w:line="360" w:lineRule="auto" w:after="20"/>
      </w:pPr>
      <w:r>
        <w:t>C.使用匿名预付卡的客户。</w:t>
      </w:r>
      <w:r>
        <w:br/>
      </w:r>
      <w:r>
        <w:t>Customers using anonymous prepaid cards.</w:t>
      </w:r>
    </w:p>
    <w:p>
      <w:pPr>
        <w:spacing w:line="360" w:lineRule="auto" w:after="20"/>
      </w:pPr>
      <w:r>
        <w:t>D.超出自身承受能力进行投注的客户。</w:t>
      </w:r>
      <w:r>
        <w:br/>
      </w:r>
      <w:r>
        <w:t>Customers betting more than they can afford.</w:t>
      </w:r>
    </w:p>
    <w:p>
      <w:pPr>
        <w:spacing w:line="360" w:lineRule="auto" w:after="20"/>
      </w:pPr>
      <w:r>
        <w:t>E.客户为规避强化尽职调查而频繁进行小额交易。</w:t>
      </w:r>
      <w:r>
        <w:br/>
      </w:r>
      <w:r>
        <w:t>Customers making numerous low-level transactions to avoid enhanced due diligence.</w:t>
      </w:r>
    </w:p>
    <w:p>
      <w:pPr>
        <w:spacing w:line="360" w:lineRule="auto" w:after="40"/>
      </w:pPr>
      <w:r>
        <w:t>答案:A、C、E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识别远程博彩特有的非面对面、匿名化与规避CDD风险</w:t>
      </w:r>
    </w:p>
    <w:p>
      <w:pPr>
        <w:spacing w:before="120" w:after="40"/>
      </w:pPr>
      <w:r>
        <w:rPr>
          <w:b/>
          <w:sz w:val="21"/>
          <w:shd w:fill="D6E4F0" w:val="clear"/>
        </w:rPr>
        <w:t>核心解析：</w:t>
      </w:r>
    </w:p>
    <w:p>
      <w:pPr>
        <w:spacing w:line="360" w:lineRule="auto" w:after="40"/>
        <w:ind w:firstLine="420"/>
      </w:pPr>
      <w:r>
        <w:t>远程博彩的核心风险在于“</w:t>
      </w:r>
      <w:r>
        <w:rPr>
          <w:b/>
        </w:rPr>
        <w:t>非面对面</w:t>
      </w:r>
      <w:r>
        <w:t>”交互引入的匿名性漏洞。教材指出，在线博彩运营商远程为客户开户，使其面临</w:t>
      </w:r>
      <w:r>
        <w:rPr>
          <w:b/>
        </w:rPr>
        <w:t>高风险司法管辖区敞口</w:t>
      </w:r>
      <w:r>
        <w:t>并增加了</w:t>
      </w:r>
      <w:r>
        <w:rPr>
          <w:b/>
        </w:rPr>
        <w:t>身份欺诈</w:t>
      </w:r>
      <w:r>
        <w:t>的风险，因为缺乏必要的控制措施</w:t>
      </w:r>
      <w:r>
        <w:rPr>
          <w:sz w:val="15"/>
          <w:vertAlign w:val="superscript"/>
        </w:rPr>
        <w:t>P120</w:t>
      </w:r>
      <w:r>
        <w:t>。同时，博彩业面临通过第三方或多笔交易来规避报告门槛的“</w:t>
      </w:r>
      <w:r>
        <w:rPr>
          <w:b/>
        </w:rPr>
        <w:t>结构化交易</w:t>
      </w:r>
      <w:r>
        <w:t>”风险</w:t>
      </w:r>
      <w:r>
        <w:rPr>
          <w:sz w:val="15"/>
          <w:vertAlign w:val="superscript"/>
        </w:rPr>
        <w:t>P121</w:t>
      </w:r>
      <w:r>
        <w:t>。预付卡则因可匿名购买和充值，且了解你的客户要求极低，极易被用于</w:t>
      </w:r>
      <w:r>
        <w:rPr>
          <w:b/>
        </w:rPr>
        <w:t>转移非法资金</w:t>
      </w:r>
      <w:r>
        <w:rPr>
          <w:sz w:val="15"/>
          <w:vertAlign w:val="superscript"/>
        </w:rPr>
        <w:t>P68</w:t>
      </w:r>
      <w:r>
        <w:t>。题干A、C、E三项分别对应远程博彩的非面对面身份验证缺陷、高度匿名化的价值转移工具，以及为规避强化尽职调查而刻意拆分交易金额的行为，直接指向该行业特有的金融犯罪风险链条。</w:t>
      </w:r>
    </w:p>
    <w:p>
      <w:pPr>
        <w:spacing w:before="120" w:after="40"/>
      </w:pPr>
      <w:r>
        <w:rPr>
          <w:b/>
          <w:sz w:val="21"/>
          <w:shd w:fill="D6E4F0" w:val="clear"/>
        </w:rPr>
        <w:t>教材原句：</w:t>
      </w:r>
    </w:p>
    <w:p>
      <w:pPr>
        <w:spacing w:line="360" w:lineRule="auto" w:after="40"/>
        <w:ind w:firstLine="420"/>
      </w:pPr>
      <w:r>
        <w:t>"Since online gaming operators onboard customers remotely, they might face exposure to high-risk jurisdictions."</w:t>
      </w:r>
    </w:p>
    <w:p>
      <w:pPr>
        <w:spacing w:before="120" w:after="40"/>
      </w:pPr>
      <w:r>
        <w:rPr>
          <w:b/>
          <w:sz w:val="21"/>
          <w:shd w:fill="D6E4F0" w:val="clear"/>
        </w:rPr>
        <w:t>B项错误：</w:t>
      </w:r>
    </w:p>
    <w:p>
      <w:pPr>
        <w:spacing w:line="360" w:lineRule="auto" w:after="40"/>
        <w:ind w:firstLine="420"/>
      </w:pPr>
      <w:r>
        <w:t>教材指出实体赌场因“大量现金交易”而特别容易遭受洗钱风险</w:t>
      </w:r>
      <w:r>
        <w:rPr>
          <w:sz w:val="15"/>
          <w:vertAlign w:val="superscript"/>
        </w:rPr>
        <w:t>P120</w:t>
      </w:r>
      <w:r>
        <w:t>，但题干特指“远程博彩”，其非面对面交互的特征与大规模的实体现金存款在场景上匹配度较低，相比之下正确项A更直接聚焦于远程场景下的身份验证漏洞。</w:t>
      </w:r>
    </w:p>
    <w:p>
      <w:pPr>
        <w:spacing w:before="120" w:after="40"/>
      </w:pPr>
      <w:r>
        <w:rPr>
          <w:b/>
          <w:sz w:val="21"/>
          <w:shd w:fill="D6E4F0" w:val="clear"/>
        </w:rPr>
        <w:t>D项错误：</w:t>
      </w:r>
    </w:p>
    <w:p>
      <w:pPr>
        <w:spacing w:line="360" w:lineRule="auto" w:after="40"/>
        <w:ind w:firstLine="420"/>
      </w:pPr>
      <w:r>
        <w:t>教材未将“超出自身承受能力投注”列入金融犯罪风险的直接考量，这更多属于消费者保护或个人责任问题，而非反洗钱视角下的金融犯罪风险指标，因此不如正确项E那样明确指向规避控制的结构化行为。</w:t>
      </w:r>
    </w:p>
    <w:p>
      <w:pPr>
        <w:spacing w:before="120" w:after="40"/>
      </w:pPr>
      <w:r>
        <w:rPr>
          <w:b/>
          <w:sz w:val="21"/>
          <w:shd w:fill="D6E4F0" w:val="clear"/>
        </w:rPr>
        <w:t>易错提醒：</w:t>
      </w:r>
    </w:p>
    <w:p>
      <w:pPr>
        <w:spacing w:line="360" w:lineRule="auto" w:after="40"/>
        <w:ind w:firstLine="420"/>
      </w:pPr>
      <w:r>
        <w:t>注意区分“实体赌场的风险特征”与“远程博彩的特有风险”：前者侧重于大量现金匿名兑换筹码</w:t>
      </w:r>
      <w:r>
        <w:rPr>
          <w:sz w:val="15"/>
          <w:vertAlign w:val="superscript"/>
        </w:rPr>
        <w:t>P120</w:t>
      </w:r>
      <w:r>
        <w:t>，后者则更侧重于非面对面开户的身份伪造、远程使用匿名化工具及结构化交易规避线上的监测阈值（P120-P121）。</w:t>
      </w:r>
    </w:p>
    <w:p>
      <w:pPr>
        <w:spacing w:line="360" w:lineRule="auto" w:after="120"/>
      </w:pPr>
      <w:r/>
    </w:p>
    <w:p>
      <w:pPr>
        <w:spacing w:line="360" w:lineRule="auto" w:after="40"/>
      </w:pPr>
      <w:r>
        <w:t>23. 专业服务提供者-包括律师、会计师、投资经纪以及其他第三方-可能会滥用其职位为洗钱提供便利.这种滥用行为与哪些金融犯罪风险相关？（选择三项。）</w:t>
      </w:r>
      <w:r>
        <w:br/>
      </w:r>
      <w:r>
        <w:t>Professional service providers, including lawyers, accountants, investment brokers, and other third parties, may abuse their positions to facilitate money laundering. Which financial crime risks are associated with this type of abuse? (Select Three.)</w:t>
      </w:r>
    </w:p>
    <w:p>
      <w:pPr>
        <w:spacing w:line="360" w:lineRule="auto" w:after="20"/>
      </w:pPr>
      <w:r>
        <w:t>A.为客户开设账户以处理遗产事宜</w:t>
      </w:r>
      <w:r>
        <w:br/>
      </w:r>
      <w:r>
        <w:t>Opening an account to settle an estate on behalf of a client</w:t>
      </w:r>
    </w:p>
    <w:p>
      <w:pPr>
        <w:spacing w:line="360" w:lineRule="auto" w:after="20"/>
      </w:pPr>
      <w:r>
        <w:t>B.设立空壳公司以实施洗钱活动,包括资金的置入或分层操作</w:t>
      </w:r>
      <w:r>
        <w:br/>
      </w:r>
      <w:r>
        <w:t>Establishing shell companies to enable money laundering activities, including placement or layering</w:t>
      </w:r>
    </w:p>
    <w:p>
      <w:pPr>
        <w:spacing w:line="360" w:lineRule="auto" w:after="20"/>
      </w:pPr>
      <w:r>
        <w:t>C.为掩盖实际客户身份而开设第三方账户</w:t>
      </w:r>
      <w:r>
        <w:br/>
      </w:r>
      <w:r>
        <w:t>Opening third-party accounts for the primary purpose of masking the underlying client's identity</w:t>
      </w:r>
    </w:p>
    <w:p>
      <w:pPr>
        <w:spacing w:line="360" w:lineRule="auto" w:after="20"/>
      </w:pPr>
      <w:r>
        <w:t>D.开设信托账户以促进合法的房地产交易</w:t>
      </w:r>
      <w:r>
        <w:br/>
      </w:r>
      <w:r>
        <w:t>Opening a trust account to facilitate a legitimate real estate transaction</w:t>
      </w:r>
    </w:p>
    <w:p>
      <w:pPr>
        <w:spacing w:line="360" w:lineRule="auto" w:after="20"/>
      </w:pPr>
      <w:r>
        <w:t>E.指导或协助洗钱,包括安排交易以规避监管</w:t>
      </w:r>
      <w:r>
        <w:br/>
      </w:r>
      <w:r>
        <w:t>Directing or facilitating the laundering of illicit funds, including structuring transactions</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专业服务提供者被滥用于洗钱的典型风险手法</w:t>
      </w:r>
    </w:p>
    <w:p>
      <w:pPr>
        <w:spacing w:before="120" w:after="40"/>
      </w:pPr>
      <w:r>
        <w:rPr>
          <w:b/>
          <w:sz w:val="21"/>
          <w:shd w:fill="D6E4F0" w:val="clear"/>
        </w:rPr>
        <w:t>核心解析：</w:t>
      </w:r>
    </w:p>
    <w:p>
      <w:pPr>
        <w:spacing w:line="360" w:lineRule="auto" w:after="40"/>
        <w:ind w:firstLine="420"/>
      </w:pPr>
      <w:r>
        <w:rPr>
          <w:b/>
        </w:rPr>
        <w:t>专业服务提供者</w:t>
      </w:r>
      <w:r>
        <w:t>（如律师、会计师、信托与公司服务提供商等）常被称为“看门人”，其专业知识和合法身份容易被犯罪分子利用来</w:t>
      </w:r>
      <w:r>
        <w:rPr>
          <w:b/>
        </w:rPr>
        <w:t>搭建洗钱结构、隐藏受益所有人身份或协助非法资金流动</w:t>
      </w:r>
      <w:r>
        <w:rPr>
          <w:sz w:val="15"/>
          <w:vertAlign w:val="superscript"/>
        </w:rPr>
        <w:t>P119</w:t>
      </w:r>
      <w:r>
        <w:t>。教材指出，律师可能协助设立信托或壳公司等复杂结构以隐藏真实受益人</w:t>
      </w:r>
      <w:r>
        <w:rPr>
          <w:sz w:val="15"/>
          <w:vertAlign w:val="superscript"/>
        </w:rPr>
        <w:t>P119</w:t>
      </w:r>
      <w:r>
        <w:t>；信托与公司服务提供商可能提供名义服务或开设账户以掩盖真实所有权</w:t>
      </w:r>
      <w:r>
        <w:rPr>
          <w:sz w:val="15"/>
          <w:vertAlign w:val="superscript"/>
        </w:rPr>
        <w:t>P126</w:t>
      </w:r>
      <w:r>
        <w:t>；会计师可能在放款和分层阶段无意中协助使非法交易看似合法</w:t>
      </w:r>
      <w:r>
        <w:rPr>
          <w:sz w:val="15"/>
          <w:vertAlign w:val="superscript"/>
        </w:rPr>
        <w:t>P120</w:t>
      </w:r>
      <w:r>
        <w:t>；犯罪分子经常利用法律专业人士的服务来隐瞒非法资金、为欺诈交易提供便利或以模糊资金源头的方式安排交易</w:t>
      </w:r>
      <w:r>
        <w:rPr>
          <w:sz w:val="15"/>
          <w:vertAlign w:val="superscript"/>
        </w:rPr>
        <w:t>P125</w:t>
      </w:r>
      <w:r>
        <w:t>。题干中“专业服务提供者滥用其职位为洗钱提供便利”恰好对应上述三类情形：选项B对应设立壳公司进行放置和分层；选项C对应用第三方账户掩盖客户身份；选项E对应直接指导或协助洗钱，包括规避监管的结构化交易。</w:t>
      </w:r>
    </w:p>
    <w:p>
      <w:pPr>
        <w:spacing w:before="120" w:after="40"/>
      </w:pPr>
      <w:r>
        <w:rPr>
          <w:b/>
          <w:sz w:val="21"/>
          <w:shd w:fill="D6E4F0" w:val="clear"/>
        </w:rPr>
        <w:t>教材原句：</w:t>
      </w:r>
    </w:p>
    <w:p>
      <w:pPr>
        <w:spacing w:line="360" w:lineRule="auto" w:after="40"/>
        <w:ind w:firstLine="420"/>
      </w:pPr>
      <w:r>
        <w:t>"Lawyers might assist in establishing complex structures, such as trusts or shell companies, which can conceal the identities of true beneficiaries."</w:t>
      </w:r>
    </w:p>
    <w:p>
      <w:pPr>
        <w:spacing w:before="120" w:after="40"/>
      </w:pPr>
      <w:r>
        <w:rPr>
          <w:b/>
          <w:sz w:val="21"/>
          <w:shd w:fill="D6E4F0" w:val="clear"/>
        </w:rPr>
        <w:t>A项错误：</w:t>
      </w:r>
    </w:p>
    <w:p>
      <w:pPr>
        <w:spacing w:line="360" w:lineRule="auto" w:after="40"/>
        <w:ind w:firstLine="420"/>
      </w:pPr>
      <w:r>
        <w:t>“为客户开设账户以处理遗产事宜”描述的是律师等专业服务者的一项常规合法业务，其本身与滥用职位为洗钱提供便利的目的没有直接关联。如果该账户随后被用于异常资金划转，这才可能触发洗钱风险。题干问的是滥用职位的主行为，而非后续的被动载体。</w:t>
      </w:r>
    </w:p>
    <w:p>
      <w:pPr>
        <w:spacing w:before="120" w:after="40"/>
      </w:pPr>
      <w:r>
        <w:rPr>
          <w:b/>
          <w:sz w:val="21"/>
          <w:shd w:fill="D6E4F0" w:val="clear"/>
        </w:rPr>
        <w:t>D项错误：</w:t>
      </w:r>
    </w:p>
    <w:p>
      <w:pPr>
        <w:spacing w:line="360" w:lineRule="auto" w:after="40"/>
        <w:ind w:firstLine="420"/>
      </w:pPr>
      <w:r>
        <w:t>“开设信托账户以促进合法的房地产交易”被教材描述为信托的合法用途之一，包括继承规划、财富保护和加快遗嘱认证</w:t>
      </w:r>
      <w:r>
        <w:rPr>
          <w:sz w:val="15"/>
          <w:vertAlign w:val="superscript"/>
        </w:rPr>
        <w:t>P73</w:t>
      </w:r>
      <w:r>
        <w:t>。题干关键词是“滥用”，即利用专业身份从事不当行为，与“促进合法的交易”方向相反。虽然房地产交易和信托确实可能被滥用，但选项本身的定语“合法的”使之不构成直接的滥用风险行为。</w:t>
      </w:r>
    </w:p>
    <w:p>
      <w:pPr>
        <w:spacing w:before="120" w:after="40"/>
      </w:pPr>
      <w:r>
        <w:rPr>
          <w:b/>
          <w:sz w:val="21"/>
          <w:shd w:fill="D6E4F0" w:val="clear"/>
        </w:rPr>
        <w:t>易错提醒：</w:t>
      </w:r>
    </w:p>
    <w:p>
      <w:pPr>
        <w:spacing w:line="360" w:lineRule="auto" w:after="40"/>
        <w:ind w:firstLine="420"/>
      </w:pPr>
      <w:r>
        <w:t>注意区分一项业务</w:t>
      </w:r>
      <w:r>
        <w:rPr>
          <w:b/>
        </w:rPr>
        <w:t>“可能被滥用为洗钱工具”</w:t>
      </w:r>
      <w:r>
        <w:t>与</w:t>
      </w:r>
      <w:r>
        <w:rPr>
          <w:b/>
        </w:rPr>
        <w:t>“本身构成滥用执业行为”</w:t>
      </w:r>
      <w:r>
        <w:t>：题干问的是后者，而非前者。教材在描述信托或房地产时都会先列出合法用途，再分析滥用的可能性，考的是这一区分的敏感度。</w:t>
      </w:r>
    </w:p>
    <w:p>
      <w:pPr>
        <w:spacing w:line="360" w:lineRule="auto" w:after="120"/>
      </w:pPr>
      <w:r/>
    </w:p>
    <w:p>
      <w:pPr>
        <w:spacing w:line="360" w:lineRule="auto" w:after="40"/>
      </w:pPr>
      <w:r>
        <w:t>24. 以下哪些活动被金融行动特别工作组(FATF)认定为可能通过房地产行业洗钱的迹象?(选择四项.)</w:t>
      </w:r>
      <w:r>
        <w:br/>
      </w:r>
      <w:r>
        <w:t>Which of the following activities are identified by the Financial Action Task Force (FATF) as being potentially indicative of money laundering through the real estate sector? (Select Four.)</w:t>
      </w:r>
    </w:p>
    <w:p>
      <w:pPr>
        <w:spacing w:line="360" w:lineRule="auto" w:after="20"/>
      </w:pPr>
      <w:r>
        <w:t>A.抵押贷款产品的使用</w:t>
      </w:r>
      <w:r>
        <w:br/>
      </w:r>
      <w:r>
        <w:t>Use of mortgage products</w:t>
      </w:r>
    </w:p>
    <w:p>
      <w:pPr>
        <w:spacing w:line="360" w:lineRule="auto" w:after="20"/>
      </w:pPr>
      <w:r>
        <w:t>B.商业用途与声明的业务目的不符的商业物业使用情况</w:t>
      </w:r>
      <w:r>
        <w:br/>
      </w:r>
      <w:r>
        <w:t>Use of commercial properties inconsistent with stated business purposes</w:t>
      </w:r>
    </w:p>
    <w:p>
      <w:pPr>
        <w:spacing w:line="360" w:lineRule="auto" w:after="20"/>
      </w:pPr>
      <w:r>
        <w:t>C.复杂贷款或信贷融资的使用</w:t>
      </w:r>
      <w:r>
        <w:br/>
      </w:r>
      <w:r>
        <w:t>Use of complex loans or credit finance</w:t>
      </w:r>
    </w:p>
    <w:p>
      <w:pPr>
        <w:spacing w:line="360" w:lineRule="auto" w:after="20"/>
      </w:pPr>
      <w:r>
        <w:t>D.使用公司载体或复杂的所有权结构</w:t>
      </w:r>
      <w:r>
        <w:br/>
      </w:r>
      <w:r>
        <w:t>Use of corporate vehicles or complex ownership structures</w:t>
      </w:r>
    </w:p>
    <w:p>
      <w:pPr>
        <w:spacing w:line="360" w:lineRule="auto" w:after="20"/>
      </w:pPr>
      <w:r>
        <w:t>E.无法解释的现金支付</w:t>
      </w:r>
      <w:r>
        <w:br/>
      </w:r>
      <w:r>
        <w:t>Unexplained cash payments</w:t>
      </w:r>
    </w:p>
    <w:p>
      <w:pPr>
        <w:spacing w:line="360" w:lineRule="auto" w:after="20"/>
      </w:pPr>
      <w:r>
        <w:t>F.农村地区农业用地的使用</w:t>
      </w:r>
      <w:r>
        <w:br/>
      </w:r>
      <w:r>
        <w:t>Use of agricultural land in rural areas</w:t>
      </w:r>
    </w:p>
    <w:p>
      <w:pPr>
        <w:spacing w:line="360" w:lineRule="auto" w:after="40"/>
      </w:pPr>
      <w:r>
        <w:t>答案:B、C、D、E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FATF认定的房地产洗钱迹象</w:t>
      </w:r>
      <w:r>
        <w:t>，区分正常金融工具与异常交易模式</w:t>
      </w:r>
    </w:p>
    <w:p>
      <w:pPr>
        <w:spacing w:before="120" w:after="40"/>
      </w:pPr>
      <w:r>
        <w:rPr>
          <w:b/>
          <w:sz w:val="21"/>
          <w:shd w:fill="D6E4F0" w:val="clear"/>
        </w:rPr>
        <w:t>核心解析：</w:t>
      </w:r>
    </w:p>
    <w:p>
      <w:pPr>
        <w:spacing w:line="360" w:lineRule="auto" w:after="40"/>
        <w:ind w:firstLine="420"/>
      </w:pPr>
      <w:r>
        <w:t>房地产交易因涉及大额资金、有形资产及第三方中介，为掩饰非法资金来源提供机会</w:t>
      </w:r>
      <w:r>
        <w:rPr>
          <w:sz w:val="15"/>
          <w:vertAlign w:val="superscript"/>
        </w:rPr>
        <w:t>P121</w:t>
      </w:r>
      <w:r>
        <w:t>。FATF认定的房地产洗钱迹象围绕三个维度：</w:t>
      </w:r>
      <w:r>
        <w:rPr>
          <w:b/>
        </w:rPr>
        <w:t>交易目的与实质不符、资金性质异常、所有权结构隐匿</w:t>
      </w:r>
      <w:r>
        <w:t>。选项B“商业物业用途与声明业务目的不符”吻合账户活动与目的不一致这一风险指标</w:t>
      </w:r>
      <w:r>
        <w:rPr>
          <w:sz w:val="15"/>
          <w:vertAlign w:val="superscript"/>
        </w:rPr>
        <w:t>P138</w:t>
      </w:r>
      <w:r>
        <w:t>，商业物业的实际使用偏离其声称的业务目的，暗示以物业为幌子从事其他活动。选项C“复杂贷款或信贷融资的使用”——信贷相关产品虽为基本金融服务，但也带来重大洗钱风险</w:t>
      </w:r>
      <w:r>
        <w:rPr>
          <w:sz w:val="15"/>
          <w:vertAlign w:val="superscript"/>
        </w:rPr>
        <w:t>P67</w:t>
      </w:r>
      <w:r>
        <w:t>，复杂的融资安排（如无关联第三方之间的贷款协议，P128）可被用于转移非法资金、混淆资金流向，在房地产场景中构成可疑迹象。选项D“使用公司载体或复杂的所有权结构”直接对应教材核心结论：买卖或租赁房地产通过模糊所有权结构掩饰资金来源</w:t>
      </w:r>
      <w:r>
        <w:rPr>
          <w:sz w:val="15"/>
          <w:vertAlign w:val="superscript"/>
        </w:rPr>
        <w:t>P121</w:t>
      </w:r>
      <w:r>
        <w:t>，壳公司等载体使真实受益所有人难以追踪</w:t>
      </w:r>
      <w:r>
        <w:rPr>
          <w:sz w:val="15"/>
          <w:vertAlign w:val="superscript"/>
        </w:rPr>
        <w:t>P128</w:t>
      </w:r>
      <w:r>
        <w:t>。选项E“无法解释的现金支付”——现金交易因难以追踪而增加洗钱风险</w:t>
      </w:r>
      <w:r>
        <w:rPr>
          <w:sz w:val="15"/>
          <w:vertAlign w:val="superscript"/>
        </w:rPr>
        <w:t>P122</w:t>
      </w:r>
      <w:r>
        <w:t>，全部或主要用现金支付是房地产洗钱的红旗信号</w:t>
      </w:r>
      <w:r>
        <w:rPr>
          <w:sz w:val="15"/>
          <w:vertAlign w:val="superscript"/>
        </w:rPr>
        <w:t>P122</w:t>
      </w:r>
      <w:r>
        <w:t>，“无法解释”强化了其可疑性质。</w:t>
      </w:r>
    </w:p>
    <w:p>
      <w:pPr>
        <w:spacing w:before="120" w:after="40"/>
      </w:pPr>
      <w:r>
        <w:rPr>
          <w:b/>
          <w:sz w:val="21"/>
          <w:shd w:fill="D6E4F0" w:val="clear"/>
        </w:rPr>
        <w:t>教材原句：</w:t>
      </w:r>
    </w:p>
    <w:p>
      <w:pPr>
        <w:spacing w:line="360" w:lineRule="auto" w:after="40"/>
        <w:ind w:firstLine="420"/>
      </w:pPr>
      <w:r>
        <w:t>"Buying, selling, or renting properties presents opportunities for criminals to disguise the origin of funds through obscured ownership structures."</w:t>
      </w:r>
    </w:p>
    <w:p>
      <w:pPr>
        <w:spacing w:before="120" w:after="40"/>
      </w:pPr>
      <w:r>
        <w:rPr>
          <w:b/>
          <w:sz w:val="21"/>
          <w:shd w:fill="D6E4F0" w:val="clear"/>
        </w:rPr>
        <w:t>A项错误：</w:t>
      </w:r>
    </w:p>
    <w:p>
      <w:pPr>
        <w:spacing w:line="360" w:lineRule="auto" w:after="40"/>
        <w:ind w:firstLine="420"/>
      </w:pPr>
      <w:r>
        <w:t>抵押贷款产品（如住房融资、有担保贷款）在教材中被归类为基本信贷产品</w:t>
      </w:r>
      <w:r>
        <w:rPr>
          <w:sz w:val="15"/>
          <w:vertAlign w:val="superscript"/>
        </w:rPr>
        <w:t>P67</w:t>
      </w:r>
      <w:r>
        <w:t>，本身是合法金融工具。题干寻找的是FATF认定的“可能表明洗钱”的异常迹象，而单纯使用抵押贷款属于正常交易行为，缺乏“异常性”这一关键要素。相比之下，复杂贷款或自成一类的信贷融资安排（选项C）更直接匹配可疑交易模式。</w:t>
      </w:r>
    </w:p>
    <w:p>
      <w:pPr>
        <w:spacing w:before="120" w:after="40"/>
      </w:pPr>
      <w:r>
        <w:rPr>
          <w:b/>
          <w:sz w:val="21"/>
          <w:shd w:fill="D6E4F0" w:val="clear"/>
        </w:rPr>
        <w:t>F项错误：</w:t>
      </w:r>
    </w:p>
    <w:p>
      <w:pPr>
        <w:spacing w:line="360" w:lineRule="auto" w:after="40"/>
        <w:ind w:firstLine="420"/>
      </w:pPr>
      <w:r>
        <w:t>教材在讨论房地产行业洗钱风险时（P119-P122），聚焦于交易方式（现金支付）、所有权结构（公司载体）、跨境因素和国际买家等，未将特定土地类型（如农业用地或农村地区）列为风险因素。FATF认定的迹象关注的是交易行为特征而非财产的地理分类，题干要素中缺乏支持该选项所需的教材依据。</w:t>
      </w:r>
    </w:p>
    <w:p>
      <w:pPr>
        <w:spacing w:before="120" w:after="40"/>
      </w:pPr>
      <w:r>
        <w:rPr>
          <w:b/>
          <w:sz w:val="21"/>
          <w:shd w:fill="D6E4F0" w:val="clear"/>
        </w:rPr>
        <w:t>易错提醒：</w:t>
      </w:r>
    </w:p>
    <w:p>
      <w:pPr>
        <w:spacing w:line="360" w:lineRule="auto" w:after="40"/>
        <w:ind w:firstLine="420"/>
      </w:pPr>
      <w:r>
        <w:t>常规金融产品与洗钱风险指标的区别：</w:t>
      </w:r>
      <w:r>
        <w:rPr>
          <w:b/>
        </w:rPr>
        <w:t>抵押贷款等基础信贷产品</w:t>
      </w:r>
      <w:r>
        <w:t>本身是合法工具</w:t>
      </w:r>
      <w:r>
        <w:rPr>
          <w:sz w:val="15"/>
          <w:vertAlign w:val="superscript"/>
        </w:rPr>
        <w:t>P67</w:t>
      </w:r>
      <w:r>
        <w:t>，其“使用”不构成洗钱迹象；而</w:t>
      </w:r>
      <w:r>
        <w:rPr>
          <w:b/>
        </w:rPr>
        <w:t>复杂贷款或信贷融资</w:t>
      </w:r>
      <w:r>
        <w:t>（选项C）指向非标准化的融资安排——如无关联第三方间的贷款协议</w:t>
      </w:r>
      <w:r>
        <w:rPr>
          <w:sz w:val="15"/>
          <w:vertAlign w:val="superscript"/>
        </w:rPr>
        <w:t>P128</w:t>
      </w:r>
      <w:r>
        <w:t>，这些结构异常性才是FATF关注的风险信号。</w:t>
      </w:r>
    </w:p>
    <w:p>
      <w:pPr>
        <w:spacing w:line="360" w:lineRule="auto" w:after="120"/>
      </w:pPr>
      <w:r/>
    </w:p>
    <w:p>
      <w:pPr>
        <w:spacing w:line="360" w:lineRule="auto" w:after="40"/>
      </w:pPr>
      <w:r>
        <w:t>25. 被提名人如何为滥用其进行洗钱活动的犯罪分子提供便利?（选择两项。）</w:t>
      </w:r>
      <w:r>
        <w:br/>
      </w:r>
      <w:r>
        <w:t>How do nominees benefit criminals misusing them for money laundering purposes? (Select Two.)</w:t>
      </w:r>
    </w:p>
    <w:p>
      <w:pPr>
        <w:spacing w:line="360" w:lineRule="auto" w:after="20"/>
      </w:pPr>
      <w:r>
        <w:t>A.允许受益所有人就公司决策提供代理投票权</w:t>
      </w:r>
      <w:r>
        <w:br/>
      </w:r>
      <w:r>
        <w:t>Allow beneficial owners to provide proxies for voting on corporate decisions</w:t>
      </w:r>
    </w:p>
    <w:p>
      <w:pPr>
        <w:spacing w:line="360" w:lineRule="auto" w:after="20"/>
      </w:pPr>
      <w:r>
        <w:t>B.不透明的实际所有权</w:t>
      </w:r>
      <w:r>
        <w:br/>
      </w:r>
      <w:r>
        <w:t>Obscure beneficial ownership</w:t>
      </w:r>
    </w:p>
    <w:p>
      <w:pPr>
        <w:spacing w:line="360" w:lineRule="auto" w:after="20"/>
      </w:pPr>
      <w:r>
        <w:t>C.允许在被提名人所在司法管辖区设立住所</w:t>
      </w:r>
      <w:r>
        <w:br/>
      </w:r>
      <w:r>
        <w:t>Allow domicile in the nominee's jurisdiction</w:t>
      </w:r>
    </w:p>
    <w:p>
      <w:pPr>
        <w:spacing w:line="360" w:lineRule="auto" w:after="20"/>
      </w:pPr>
      <w:r>
        <w:t>D.干扰调查</w:t>
      </w:r>
      <w:r>
        <w:br/>
      </w:r>
      <w:r>
        <w:t>Derail investigations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识别被提名人便利洗钱的核心机制：</w:t>
      </w:r>
      <w:r>
        <w:rPr>
          <w:b/>
        </w:rPr>
        <w:t>隐藏所有权</w:t>
      </w:r>
      <w:r>
        <w:t>与</w:t>
      </w:r>
      <w:r>
        <w:rPr>
          <w:b/>
        </w:rPr>
        <w:t>阻碍调查</w:t>
      </w:r>
    </w:p>
    <w:p>
      <w:pPr>
        <w:spacing w:before="120" w:after="40"/>
      </w:pPr>
      <w:r>
        <w:rPr>
          <w:b/>
          <w:sz w:val="21"/>
          <w:shd w:fill="D6E4F0" w:val="clear"/>
        </w:rPr>
        <w:t>核心解析：</w:t>
      </w:r>
    </w:p>
    <w:p>
      <w:pPr>
        <w:spacing w:line="360" w:lineRule="auto" w:after="40"/>
        <w:ind w:firstLine="420"/>
      </w:pPr>
      <w:r>
        <w:rPr>
          <w:b/>
        </w:rPr>
        <w:t>被提名人</w:t>
      </w:r>
      <w:r>
        <w:t>指由第三方代表客户担任名义董事或股东</w:t>
      </w:r>
      <w:r>
        <w:rPr>
          <w:sz w:val="15"/>
          <w:vertAlign w:val="superscript"/>
        </w:rPr>
        <w:t>P127</w:t>
      </w:r>
      <w:r>
        <w:t>。这一结构对洗钱活动的核心便利体现在两个维度：其一，</w:t>
      </w:r>
      <w:r>
        <w:rPr>
          <w:b/>
        </w:rPr>
        <w:t>掩饰受益所有权</w:t>
      </w:r>
      <w:r>
        <w:t>——名义董事或股东可被用于隐藏最终受益所有人身份，由此形成的匿名层通过模糊化增加了洗钱风险</w:t>
      </w:r>
      <w:r>
        <w:rPr>
          <w:sz w:val="15"/>
          <w:vertAlign w:val="superscript"/>
        </w:rPr>
        <w:t>P127</w:t>
      </w:r>
      <w:r>
        <w:t>，这直接对应选项B“不透明的实际所有权”；其二，</w:t>
      </w:r>
      <w:r>
        <w:rPr>
          <w:b/>
        </w:rPr>
        <w:t>隔离真实控制人</w:t>
      </w:r>
      <w:r>
        <w:t>——犯罪分子利用名义结构远离非法活动，并将其作为在监管薄弱司法管辖区转移资金的掩护</w:t>
      </w:r>
      <w:r>
        <w:rPr>
          <w:sz w:val="15"/>
          <w:vertAlign w:val="superscript"/>
        </w:rPr>
        <w:t>P127</w:t>
      </w:r>
      <w:r>
        <w:t>，使调查和追查更加困难，因此选项D“干扰调查”在给定选项中更符合该结构造成的后果。两个正确项分别从所有权透明度和追查难度角度，说明了同一名义人结构的洗钱便利效果。</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A项错误：</w:t>
      </w:r>
    </w:p>
    <w:p>
      <w:pPr>
        <w:spacing w:line="360" w:lineRule="auto" w:after="40"/>
        <w:ind w:firstLine="420"/>
      </w:pPr>
      <w:r>
        <w:t>题干和被提名人相关证据均聚焦于隐藏所有权和干扰调查的机制，未涉及代理投票权。选项A所需要素在本材料的被提名人语境下没有直接支撑。</w:t>
      </w:r>
    </w:p>
    <w:p>
      <w:pPr>
        <w:spacing w:before="120" w:after="40"/>
      </w:pPr>
      <w:r>
        <w:rPr>
          <w:b/>
          <w:sz w:val="21"/>
          <w:shd w:fill="D6E4F0" w:val="clear"/>
        </w:rPr>
        <w:t>C项错误：</w:t>
      </w:r>
    </w:p>
    <w:p>
      <w:pPr>
        <w:spacing w:line="360" w:lineRule="auto" w:after="40"/>
        <w:ind w:firstLine="420"/>
      </w:pPr>
      <w:r>
        <w:t>被提名人服务的教材描述着重于隐藏受益所有人身份和为非法活动提供掩护，而非为设立住所提供便利。选项C虽涉及司法管辖区，但缺乏证据支持这是被提名人便利洗钱的核心方式，其与教材定位的匹配度不如B和D。</w:t>
      </w:r>
    </w:p>
    <w:p>
      <w:pPr>
        <w:spacing w:line="360" w:lineRule="auto" w:after="120"/>
      </w:pPr>
      <w:r/>
    </w:p>
    <w:p>
      <w:pPr>
        <w:spacing w:line="360" w:lineRule="auto" w:after="40"/>
      </w:pPr>
      <w:r>
        <w:t>26. 哪些信托和公司服务提供商(TCSP)的特征可能使其容易受到金融犯罪的侵害？（选择三项。）</w:t>
      </w:r>
      <w:r>
        <w:br/>
      </w:r>
      <w:r>
        <w:t>Which characteristics of trust and company service providers (TCSPs) can potentially make them vulnerable to financial crime? (Select Three.)</w:t>
      </w:r>
    </w:p>
    <w:p>
      <w:pPr>
        <w:spacing w:line="360" w:lineRule="auto" w:after="20"/>
      </w:pPr>
      <w:r>
        <w:t>A.他们可能会专门向罪犯推销自己</w:t>
      </w:r>
      <w:r>
        <w:br/>
      </w:r>
      <w:r>
        <w:t>They may market themselves specifically to criminals</w:t>
      </w:r>
    </w:p>
    <w:p>
      <w:pPr>
        <w:spacing w:line="360" w:lineRule="auto" w:after="20"/>
      </w:pPr>
      <w:r>
        <w:t>B.提供代名董事可能会通过隐瞒真实所有权来增加匿名性</w:t>
      </w:r>
      <w:r>
        <w:br/>
      </w:r>
      <w:r>
        <w:t>Offering nominee directors may increase anonymity by concealing true ownership</w:t>
      </w:r>
    </w:p>
    <w:p>
      <w:pPr>
        <w:spacing w:line="360" w:lineRule="auto" w:after="20"/>
      </w:pPr>
      <w:r>
        <w:t>C.在大多数司法管辖区,他们无需遵守反洗钱法规</w:t>
      </w:r>
      <w:r>
        <w:br/>
      </w:r>
      <w:r>
        <w:t>They do not have to comply with AML regulations in most jurisdictions</w:t>
      </w:r>
    </w:p>
    <w:p>
      <w:pPr>
        <w:spacing w:line="360" w:lineRule="auto" w:after="20"/>
      </w:pPr>
      <w:r>
        <w:t>D.向境外中介机构出售现成的公司</w:t>
      </w:r>
      <w:r>
        <w:br/>
      </w:r>
      <w:r>
        <w:t>Selling ready-made, off-the-shelf companies to offshore intermediaries</w:t>
      </w:r>
    </w:p>
    <w:p>
      <w:pPr>
        <w:spacing w:line="360" w:lineRule="auto" w:after="20"/>
      </w:pPr>
      <w:r>
        <w:t>E.与客户面对面接触极少,尤其是在离岸安排的情况下</w:t>
      </w:r>
      <w:r>
        <w:br/>
      </w:r>
      <w:r>
        <w:t>Having minimal face-to-face contact with customers, particularly in offshore arrangements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 TCSP 业务中导致</w:t>
      </w:r>
      <w:r>
        <w:rPr>
          <w:b/>
        </w:rPr>
        <w:t>匿名性</w:t>
      </w:r>
      <w:r>
        <w:t>和</w:t>
      </w:r>
      <w:r>
        <w:rPr>
          <w:b/>
        </w:rPr>
        <w:t>识别障碍</w:t>
      </w:r>
      <w:r>
        <w:t>的</w:t>
      </w:r>
      <w:r>
        <w:rPr>
          <w:b/>
        </w:rPr>
        <w:t>结构特征</w:t>
      </w:r>
      <w:r>
        <w:t>。</w:t>
      </w:r>
    </w:p>
    <w:p>
      <w:pPr>
        <w:spacing w:before="120" w:after="40"/>
      </w:pPr>
      <w:r>
        <w:rPr>
          <w:b/>
          <w:sz w:val="21"/>
          <w:shd w:fill="D6E4F0" w:val="clear"/>
        </w:rPr>
        <w:t>核心解析：</w:t>
      </w:r>
    </w:p>
    <w:p>
      <w:pPr>
        <w:spacing w:line="360" w:lineRule="auto" w:after="40"/>
        <w:ind w:firstLine="420"/>
      </w:pPr>
      <w:r>
        <w:t>B项中的</w:t>
      </w:r>
      <w:r>
        <w:rPr>
          <w:b/>
        </w:rPr>
        <w:t>代名董事会</w:t>
      </w:r>
      <w:r>
        <w:t>隐藏UBO身份；D项向境外中介出售现成公司，会叠加</w:t>
      </w:r>
      <w:r>
        <w:rPr>
          <w:b/>
        </w:rPr>
        <w:t>现成公司、离岸结构和跨境中介</w:t>
      </w:r>
      <w:r>
        <w:t>的透明度问题；E项所述与客户面对面接触极少，尤其是在离岸安排下，会降低机构</w:t>
      </w:r>
      <w:r>
        <w:rPr>
          <w:b/>
        </w:rPr>
        <w:t>核实客户和实际控制人</w:t>
      </w:r>
      <w:r>
        <w:t>的能力</w:t>
      </w:r>
      <w:r>
        <w:rPr>
          <w:sz w:val="15"/>
          <w:vertAlign w:val="superscript"/>
        </w:rPr>
        <w:t>P117</w:t>
      </w:r>
      <w:r>
        <w:t>。三项均是业务模式本身的脆弱性。</w:t>
      </w:r>
    </w:p>
    <w:p>
      <w:pPr>
        <w:spacing w:before="120" w:after="40"/>
      </w:pPr>
      <w:r>
        <w:rPr>
          <w:b/>
          <w:sz w:val="21"/>
          <w:shd w:fill="D6E4F0" w:val="clear"/>
        </w:rPr>
        <w:t>A项错误：</w:t>
      </w:r>
    </w:p>
    <w:p>
      <w:pPr>
        <w:spacing w:line="360" w:lineRule="auto" w:after="40"/>
        <w:ind w:firstLine="420"/>
      </w:pPr>
      <w:r>
        <w:t>教材说明 TCSP 服务可能被犯罪分子利用，但没有把“主动向罪犯推销”列为普遍业务特征。</w:t>
      </w:r>
    </w:p>
    <w:p>
      <w:pPr>
        <w:spacing w:before="120" w:after="40"/>
      </w:pPr>
      <w:r>
        <w:rPr>
          <w:b/>
          <w:sz w:val="21"/>
          <w:shd w:fill="D6E4F0" w:val="clear"/>
        </w:rPr>
        <w:t>C项错误：</w:t>
      </w:r>
    </w:p>
    <w:p>
      <w:pPr>
        <w:spacing w:line="360" w:lineRule="auto" w:after="40"/>
        <w:ind w:firstLine="420"/>
      </w:pPr>
      <w:r>
        <w:t>“大多数司法管辖区无需遵守 AML 法规”过于绝对；监管状态不能概括所有司法管辖区。</w:t>
      </w:r>
    </w:p>
    <w:p>
      <w:pPr>
        <w:spacing w:before="120" w:after="40"/>
      </w:pPr>
      <w:r>
        <w:rPr>
          <w:b/>
          <w:sz w:val="21"/>
          <w:shd w:fill="D6E4F0" w:val="clear"/>
        </w:rPr>
        <w:t>易错提醒：</w:t>
      </w:r>
    </w:p>
    <w:p>
      <w:pPr>
        <w:spacing w:line="360" w:lineRule="auto" w:after="40"/>
        <w:ind w:firstLine="420"/>
      </w:pPr>
      <w:r>
        <w:t>TCSP风险来自代名服务、现成公司、离岸和非面对面交付造成的透明度下降</w:t>
      </w:r>
      <w:r>
        <w:rPr>
          <w:sz w:val="15"/>
          <w:vertAlign w:val="superscript"/>
        </w:rPr>
        <w:t>P117</w:t>
      </w:r>
      <w:r>
        <w:t>，不应把某一司法管辖区的监管缺口扩大为普遍规则。</w:t>
      </w:r>
    </w:p>
    <w:p>
      <w:pPr>
        <w:spacing w:line="360" w:lineRule="auto" w:after="120"/>
      </w:pPr>
      <w:r/>
    </w:p>
    <w:p>
      <w:pPr>
        <w:spacing w:line="360" w:lineRule="auto" w:after="40"/>
      </w:pPr>
      <w:r>
        <w:t>27. 从金融犯罪的角度来看,会计事务所提供的哪些服务可能被视为风险较高的服务？（选择三项。）</w:t>
      </w:r>
      <w:r>
        <w:br/>
      </w:r>
      <w:r>
        <w:t>Which services provided by an accounting firm could be considered higher risk from a financial crime perspective? (Choose three.)</w:t>
      </w:r>
    </w:p>
    <w:p>
      <w:pPr>
        <w:spacing w:line="360" w:lineRule="auto" w:after="20"/>
      </w:pPr>
      <w:r>
        <w:t>A.代表客户设立结构复杂的信托并担任委托董事</w:t>
      </w:r>
      <w:r>
        <w:br/>
      </w:r>
      <w:r>
        <w:t>Forming a trust on behalf of a customer with a complex setup and acting as a nominee director</w:t>
      </w:r>
    </w:p>
    <w:p>
      <w:pPr>
        <w:spacing w:line="360" w:lineRule="auto" w:after="20"/>
      </w:pPr>
      <w:r>
        <w:t>B.对一家为大型企业客户提供薪资软件的公司进行审计</w:t>
      </w:r>
      <w:r>
        <w:br/>
      </w:r>
      <w:r>
        <w:t>Auditing a firm that provides payroll software to large corporate customers</w:t>
      </w:r>
    </w:p>
    <w:p>
      <w:pPr>
        <w:spacing w:line="360" w:lineRule="auto" w:after="20"/>
      </w:pPr>
      <w:r>
        <w:t>C.为上市公司或私营企业编制财务报表</w:t>
      </w:r>
      <w:r>
        <w:br/>
      </w:r>
      <w:r>
        <w:t>Preparing financial statements for a listed or privately owned firm</w:t>
      </w:r>
    </w:p>
    <w:p>
      <w:pPr>
        <w:spacing w:line="360" w:lineRule="auto" w:after="20"/>
      </w:pPr>
      <w:r>
        <w:t>D.为希望将资产转移出本国的国际客户提供税务建议</w:t>
      </w:r>
      <w:r>
        <w:br/>
      </w:r>
      <w:r>
        <w:t>Providing tax advice to an international customer hoping to move their assets out of their home country</w:t>
      </w:r>
    </w:p>
    <w:p>
      <w:pPr>
        <w:spacing w:line="360" w:lineRule="auto" w:after="20"/>
      </w:pPr>
      <w:r>
        <w:t>E.协助一家来自无受益所有人信息可查的司法管辖区的离岸公司购买英国房产</w:t>
      </w:r>
      <w:r>
        <w:br/>
      </w:r>
      <w:r>
        <w:t>Assisting an offshore corporation from a jurisdiction where beneficial ownership information is not available to purchase UK property</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识别会计师高风险服务中的逃税、离岸结合房产及公司服务风险信号</w:t>
      </w:r>
    </w:p>
    <w:p>
      <w:pPr>
        <w:spacing w:before="120" w:after="40"/>
      </w:pPr>
      <w:r>
        <w:rPr>
          <w:b/>
          <w:sz w:val="21"/>
          <w:shd w:fill="D6E4F0" w:val="clear"/>
        </w:rPr>
        <w:t>核心解析：</w:t>
      </w:r>
    </w:p>
    <w:p>
      <w:pPr>
        <w:spacing w:line="360" w:lineRule="auto" w:after="40"/>
        <w:ind w:firstLine="420"/>
      </w:pPr>
      <w:r>
        <w:t>会计师因深度接触客户敏感财务信息，其提供的特定服务可能无意中协助洗钱或逃税</w:t>
      </w:r>
      <w:r>
        <w:rPr>
          <w:sz w:val="15"/>
          <w:vertAlign w:val="superscript"/>
        </w:rPr>
        <w:t>P123</w:t>
      </w:r>
      <w:r>
        <w:t>。本题考核哪些专项服务直接匹配教材定义的高风险特征。选项A“设立结构复杂的信托并担任名义董事”，教材将</w:t>
      </w:r>
      <w:r>
        <w:rPr>
          <w:b/>
        </w:rPr>
        <w:t>名义服务（nominee services）</w:t>
      </w:r>
      <w:r>
        <w:t>定义为通过第三方代持董事或股东角色来运营公司，这会产生匿名层，使</w:t>
      </w:r>
      <w:r>
        <w:rPr>
          <w:b/>
        </w:rPr>
        <w:t>最终受益所有人（UBO）身份被隐藏</w:t>
      </w:r>
      <w:r>
        <w:rPr>
          <w:sz w:val="15"/>
          <w:vertAlign w:val="superscript"/>
        </w:rPr>
        <w:t>P127</w:t>
      </w:r>
      <w:r>
        <w:t>，金融犯罪风险显著升高。选项D“为希望将资产转移出本国的国际客户提供税务建议”，教材指出会计师面临的一大风险是</w:t>
      </w:r>
      <w:r>
        <w:rPr>
          <w:b/>
        </w:rPr>
        <w:t>无意中支持逃税</w:t>
      </w:r>
      <w:r>
        <w:t>（inadvertently supporting tax evasion），且其后的交易可能成为洗钱通道</w:t>
      </w:r>
      <w:r>
        <w:rPr>
          <w:sz w:val="15"/>
          <w:vertAlign w:val="superscript"/>
        </w:rPr>
        <w:t>P123</w:t>
      </w:r>
      <w:r>
        <w:t>，协助转移资产出境的税务筹划极易落入这一陷阱。选项E“协助无UBO信息可查的离岸公司购买英国房产”，教材例证：位于税务保密、UBO登记松懈的高风险司法管辖区（如英属维尔京群岛）的离岸公司属高风险</w:t>
      </w:r>
      <w:r>
        <w:rPr>
          <w:sz w:val="15"/>
          <w:vertAlign w:val="superscript"/>
        </w:rPr>
        <w:t>P129</w:t>
      </w:r>
      <w:r>
        <w:t>，且来自高风险或透明度低地区的买家是房地产洗钱风险信号</w:t>
      </w:r>
      <w:r>
        <w:rPr>
          <w:sz w:val="15"/>
          <w:vertAlign w:val="superscript"/>
        </w:rPr>
        <w:t>P122</w:t>
      </w:r>
      <w:r>
        <w:t>。三项服务分别指向教材中信托名义结构、逃税通道、离岸结合房产这三条高风险线索，直接成立。</w:t>
      </w:r>
    </w:p>
    <w:p>
      <w:pPr>
        <w:spacing w:before="120" w:after="40"/>
      </w:pPr>
      <w:r>
        <w:rPr>
          <w:b/>
          <w:sz w:val="21"/>
          <w:shd w:fill="D6E4F0" w:val="clear"/>
        </w:rPr>
        <w:t>教材原句：</w:t>
      </w:r>
    </w:p>
    <w:p>
      <w:pPr>
        <w:spacing w:line="360" w:lineRule="auto" w:after="40"/>
        <w:ind w:firstLine="420"/>
      </w:pPr>
      <w:r>
        <w:t>"One consequential risk for accountants is inadvertently supporting tax evasion, with subsequent transactions potentially serving as a conduit for money laundering."</w:t>
      </w:r>
    </w:p>
    <w:p>
      <w:pPr>
        <w:spacing w:before="120" w:after="40"/>
      </w:pPr>
      <w:r>
        <w:rPr>
          <w:b/>
          <w:sz w:val="21"/>
          <w:shd w:fill="D6E4F0" w:val="clear"/>
        </w:rPr>
        <w:t>B项错误：</w:t>
      </w:r>
    </w:p>
    <w:p>
      <w:pPr>
        <w:spacing w:line="360" w:lineRule="auto" w:after="40"/>
        <w:ind w:firstLine="420"/>
      </w:pPr>
      <w:r>
        <w:t>审计一家为大型企业提供薪资软件的公司属于常规服务，题干未显示该被审计对象或业务本身有任何高风险信号，相比教材明确列出的逃税、名义结构、离岸房产等高风险场景，匹配度明显不足。</w:t>
      </w:r>
    </w:p>
    <w:p>
      <w:pPr>
        <w:spacing w:before="120" w:after="40"/>
      </w:pPr>
      <w:r>
        <w:rPr>
          <w:b/>
          <w:sz w:val="21"/>
          <w:shd w:fill="D6E4F0" w:val="clear"/>
        </w:rPr>
        <w:t>C项错误：</w:t>
      </w:r>
    </w:p>
    <w:p>
      <w:pPr>
        <w:spacing w:line="360" w:lineRule="auto" w:after="40"/>
        <w:ind w:firstLine="420"/>
      </w:pPr>
      <w:r>
        <w:t>编制财务报表是会计师的基础业务，题干没有附加任何异常结构或跨国避税动机，相较于直接服务于资产隐匿或非法税务筹划的A、D项，教材并不将常规报表编制单独标记为高风险。</w:t>
      </w:r>
    </w:p>
    <w:p>
      <w:pPr>
        <w:spacing w:before="120" w:after="40"/>
      </w:pPr>
      <w:r>
        <w:rPr>
          <w:b/>
          <w:sz w:val="21"/>
          <w:shd w:fill="D6E4F0" w:val="clear"/>
        </w:rPr>
        <w:t>易错提醒：</w:t>
      </w:r>
    </w:p>
    <w:p>
      <w:pPr>
        <w:spacing w:line="360" w:lineRule="auto" w:after="40"/>
        <w:ind w:firstLine="420"/>
      </w:pPr>
      <w:r>
        <w:t>信托本身是合法规划工具，但若叠加“名义董事”（nominee director）与“结构复杂”要素，则成为隐藏UBO的高风险信号</w:t>
      </w:r>
      <w:r>
        <w:rPr>
          <w:sz w:val="15"/>
          <w:vertAlign w:val="superscript"/>
        </w:rPr>
        <w:t>P127</w:t>
      </w:r>
      <w:r>
        <w:t>。核心区分点在于是否刻意构建匿名层，而非信托是否存在。</w:t>
      </w:r>
    </w:p>
    <w:p>
      <w:pPr>
        <w:spacing w:line="360" w:lineRule="auto" w:after="120"/>
      </w:pPr>
      <w:r/>
    </w:p>
    <w:p>
      <w:pPr>
        <w:spacing w:line="360" w:lineRule="auto" w:after="40"/>
      </w:pPr>
      <w:r>
        <w:t>28. 在获取客户数据时,以下哪些可能是与金融犯罪相关的危险信号？（选择三项。）</w:t>
      </w:r>
      <w:r>
        <w:br/>
      </w:r>
      <w:r>
        <w:t>Which of the following are potential financial crime-related red flags when obtaining client data? (Choose three.)</w:t>
      </w:r>
    </w:p>
    <w:p>
      <w:pPr>
        <w:spacing w:line="360" w:lineRule="auto" w:after="20"/>
      </w:pPr>
      <w:r>
        <w:t>A.一位客户经常比要求时间早很多提交财务报表，显得过于急切</w:t>
      </w:r>
      <w:r>
        <w:br/>
      </w:r>
      <w:r>
        <w:t>A client frequently submits financial statements much earlier than required, appearing overly eager</w:t>
      </w:r>
    </w:p>
    <w:p>
      <w:pPr>
        <w:spacing w:line="360" w:lineRule="auto" w:after="20"/>
      </w:pPr>
      <w:r>
        <w:t>B.客户坚持使用个人银行账户进行商业交易，尽管已被告知不应如此</w:t>
      </w:r>
      <w:r>
        <w:br/>
      </w:r>
      <w:r>
        <w:t>A client insists on using a personal bank account for business transactions despite being advised otherwise</w:t>
      </w:r>
    </w:p>
    <w:p>
      <w:pPr>
        <w:spacing w:line="360" w:lineRule="auto" w:after="20"/>
      </w:pPr>
      <w:r>
        <w:t>C.新客户倾向于尽量减少直接交流，主要依赖间接沟通方式，称其更方便或因时间限制所致</w:t>
      </w:r>
      <w:r>
        <w:br/>
      </w:r>
      <w:r>
        <w:t>A new client shows a preference for minimal direct interaction and relies primarily on indirect communication methods, citing convenience or time constraints</w:t>
      </w:r>
    </w:p>
    <w:p>
      <w:pPr>
        <w:spacing w:line="360" w:lineRule="auto" w:after="20"/>
      </w:pPr>
      <w:r>
        <w:t>D.该客户是一家上市公司，且业务非常多元化</w:t>
      </w:r>
      <w:r>
        <w:br/>
      </w:r>
      <w:r>
        <w:t>The client is a publicly listed company with highly diversified operations</w:t>
      </w:r>
    </w:p>
    <w:p>
      <w:pPr>
        <w:spacing w:line="360" w:lineRule="auto" w:after="20"/>
      </w:pPr>
      <w:r>
        <w:t>E.最终受益所有权不明确</w:t>
      </w:r>
      <w:r>
        <w:br/>
      </w:r>
      <w:r>
        <w:t>Ultimate beneficial ownership is unclear</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识别客户数据收集阶段的</w:t>
      </w:r>
      <w:r>
        <w:rPr>
          <w:b/>
        </w:rPr>
        <w:t>账户用途</w:t>
      </w:r>
      <w:r>
        <w:t>、</w:t>
      </w:r>
      <w:r>
        <w:rPr>
          <w:b/>
        </w:rPr>
        <w:t>沟通方式</w:t>
      </w:r>
      <w:r>
        <w:t xml:space="preserve">和 </w:t>
      </w:r>
      <w:r>
        <w:rPr>
          <w:b/>
        </w:rPr>
        <w:t>UBO 红旗</w:t>
      </w:r>
      <w:r>
        <w:t>。</w:t>
      </w:r>
    </w:p>
    <w:p>
      <w:pPr>
        <w:spacing w:before="120" w:after="40"/>
      </w:pPr>
      <w:r>
        <w:rPr>
          <w:b/>
          <w:sz w:val="21"/>
          <w:shd w:fill="D6E4F0" w:val="clear"/>
        </w:rPr>
        <w:t>核心解析：</w:t>
      </w:r>
    </w:p>
    <w:p>
      <w:pPr>
        <w:spacing w:line="360" w:lineRule="auto" w:after="40"/>
        <w:ind w:firstLine="420"/>
      </w:pPr>
      <w:r>
        <w:t>B项中，客户坚持用个人账户处理商业交易，说明</w:t>
      </w:r>
      <w:r>
        <w:rPr>
          <w:b/>
        </w:rPr>
        <w:t>账户用途与实际业务不一致</w:t>
      </w:r>
      <w:r>
        <w:t>；C项中，新客户尽量减少直接交流、依赖间接沟通，可能反映</w:t>
      </w:r>
      <w:r>
        <w:rPr>
          <w:b/>
        </w:rPr>
        <w:t>隐藏身份或地点</w:t>
      </w:r>
      <w:r>
        <w:t>的意图；E项所述</w:t>
      </w:r>
      <w:r>
        <w:rPr>
          <w:b/>
        </w:rPr>
        <w:t>最终受益所有权不明确</w:t>
      </w:r>
      <w:r>
        <w:t>，则直接对应复杂或不透明的所有权结构</w:t>
      </w:r>
      <w:r>
        <w:rPr>
          <w:sz w:val="15"/>
          <w:vertAlign w:val="superscript"/>
        </w:rPr>
        <w:t>P99</w:t>
      </w:r>
      <w:r>
        <w:t>。A项只表现为提前提交财务报表，在没有其他异常背景时可以由工作习惯或办事效率解释；D项所述上市和业务多元化本身也不构成红旗。</w:t>
      </w:r>
    </w:p>
    <w:p>
      <w:pPr>
        <w:spacing w:before="120" w:after="40"/>
      </w:pPr>
      <w:r>
        <w:rPr>
          <w:b/>
          <w:sz w:val="21"/>
          <w:shd w:fill="D6E4F0" w:val="clear"/>
        </w:rPr>
        <w:t>A项错误：</w:t>
      </w:r>
    </w:p>
    <w:p>
      <w:pPr>
        <w:spacing w:line="360" w:lineRule="auto" w:after="40"/>
        <w:ind w:firstLine="420"/>
      </w:pPr>
      <w:r>
        <w:t>提前提交文件可能是工作习惯或效率行为，题干没有其他异常事实支持金融犯罪推断。</w:t>
      </w:r>
    </w:p>
    <w:p>
      <w:pPr>
        <w:spacing w:before="120" w:after="40"/>
      </w:pPr>
      <w:r>
        <w:rPr>
          <w:b/>
          <w:sz w:val="21"/>
          <w:shd w:fill="D6E4F0" w:val="clear"/>
        </w:rPr>
        <w:t>D项错误：</w:t>
      </w:r>
    </w:p>
    <w:p>
      <w:pPr>
        <w:spacing w:line="360" w:lineRule="auto" w:after="40"/>
        <w:ind w:firstLine="420"/>
      </w:pPr>
      <w:r>
        <w:t>上市和业务多元化只有在叠加高风险行业、复杂结构或异常交易时才需强化关注。</w:t>
      </w:r>
    </w:p>
    <w:p>
      <w:pPr>
        <w:spacing w:before="120" w:after="40"/>
      </w:pPr>
      <w:r>
        <w:rPr>
          <w:b/>
          <w:sz w:val="21"/>
          <w:shd w:fill="D6E4F0" w:val="clear"/>
        </w:rPr>
        <w:t>易错提醒：</w:t>
      </w:r>
    </w:p>
    <w:p>
      <w:pPr>
        <w:spacing w:line="360" w:lineRule="auto" w:after="40"/>
        <w:ind w:firstLine="420"/>
      </w:pPr>
      <w:r>
        <w:t>不要把“看起来反常”直接等同于红旗；应重点判断行为是否反映账户用途错配、身份隐藏或最终受益所有权不透明</w:t>
      </w:r>
      <w:r>
        <w:rPr>
          <w:sz w:val="15"/>
          <w:vertAlign w:val="superscript"/>
        </w:rPr>
        <w:t>P99</w:t>
      </w:r>
      <w:r>
        <w:t>。</w:t>
      </w:r>
    </w:p>
    <w:p>
      <w:pPr>
        <w:spacing w:line="360" w:lineRule="auto" w:after="120"/>
      </w:pPr>
      <w:r/>
    </w:p>
    <w:p>
      <w:pPr>
        <w:spacing w:line="360" w:lineRule="auto" w:after="40"/>
      </w:pPr>
      <w:r>
        <w:t>29. 房地产行业固有的哪些风险具有最高的反洗钱/反恐怖融资风险？（选择两项。）</w:t>
      </w:r>
      <w:r>
        <w:br/>
      </w:r>
      <w:r>
        <w:t>Which risks inherent to the real estate sector carry the highest AML/CFT risk? (Select two.)</w:t>
      </w:r>
    </w:p>
    <w:p>
      <w:pPr>
        <w:spacing w:line="360" w:lineRule="auto" w:after="20"/>
      </w:pPr>
      <w:r>
        <w:t>A.用现金购买房产</w:t>
      </w:r>
      <w:r>
        <w:br/>
      </w:r>
      <w:r>
        <w:t>Use of cash to purchase property</w:t>
      </w:r>
    </w:p>
    <w:p>
      <w:pPr>
        <w:spacing w:line="360" w:lineRule="auto" w:after="20"/>
      </w:pPr>
      <w:r>
        <w:t>B.无照房产中介充当幌子公司</w:t>
      </w:r>
      <w:r>
        <w:br/>
      </w:r>
      <w:r>
        <w:t>Unlicensed real estate agents acting as front companies</w:t>
      </w:r>
    </w:p>
    <w:p>
      <w:pPr>
        <w:spacing w:line="360" w:lineRule="auto" w:after="20"/>
      </w:pPr>
      <w:r>
        <w:t>C.利用注册信托购买房产</w:t>
      </w:r>
      <w:r>
        <w:br/>
      </w:r>
      <w:r>
        <w:t>Use of a registered trust for the purchase of property</w:t>
      </w:r>
    </w:p>
    <w:p>
      <w:pPr>
        <w:spacing w:line="360" w:lineRule="auto" w:after="20"/>
      </w:pPr>
      <w:r>
        <w:t>D.利用公司购买房产</w:t>
      </w:r>
      <w:r>
        <w:br/>
      </w:r>
      <w:r>
        <w:t>Use of a company for the purchase of property</w:t>
      </w:r>
    </w:p>
    <w:p>
      <w:pPr>
        <w:spacing w:line="360" w:lineRule="auto" w:after="20"/>
      </w:pPr>
      <w:r>
        <w:t>E.对财产价值的操纵</w:t>
      </w:r>
      <w:r>
        <w:br/>
      </w:r>
      <w:r>
        <w:t>Manipulation of the value of a property</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识别房地产行业固有的现金和公司载体风险。</w:t>
      </w:r>
    </w:p>
    <w:p>
      <w:pPr>
        <w:spacing w:before="120" w:after="40"/>
      </w:pPr>
      <w:r>
        <w:rPr>
          <w:b/>
          <w:sz w:val="21"/>
          <w:shd w:fill="D6E4F0" w:val="clear"/>
        </w:rPr>
        <w:t>核心解析：</w:t>
      </w:r>
    </w:p>
    <w:p>
      <w:pPr>
        <w:spacing w:line="360" w:lineRule="auto" w:after="40"/>
        <w:ind w:firstLine="420"/>
      </w:pPr>
      <w:r>
        <w:t>房地产交易金额高、资产可转让且</w:t>
      </w:r>
      <w:r>
        <w:rPr>
          <w:b/>
        </w:rPr>
        <w:t>所有权结构容易被遮蔽</w:t>
      </w:r>
      <w:r>
        <w:t>（P121-P122）。A项现金购房难以追踪，教材明确将</w:t>
      </w:r>
      <w:r>
        <w:rPr>
          <w:b/>
        </w:rPr>
        <w:t>全部或主要现金付款</w:t>
      </w:r>
      <w:r>
        <w:t>列为房地产洗钱红旗；D项利用公司购买房产，可借助法人载体隐藏</w:t>
      </w:r>
      <w:r>
        <w:rPr>
          <w:b/>
        </w:rPr>
        <w:t>实际控制人和资金来源</w:t>
      </w:r>
      <w:r>
        <w:t>，房地产章节将公司、信托或名义人购买且无合理解释列为红旗（P121-P122）。E项价值操纵也属于相关风险，但题干要求选择风险最高的两项；现金交易和公司载体更直接对应教材强调的</w:t>
      </w:r>
      <w:r>
        <w:rPr>
          <w:b/>
        </w:rPr>
        <w:t>资金不可追溯与所有权遮蔽</w:t>
      </w:r>
      <w:r>
        <w:t>。</w:t>
      </w:r>
    </w:p>
    <w:p>
      <w:pPr>
        <w:spacing w:before="120" w:after="40"/>
      </w:pPr>
      <w:r>
        <w:rPr>
          <w:b/>
          <w:sz w:val="21"/>
          <w:shd w:fill="D6E4F0" w:val="clear"/>
        </w:rPr>
        <w:t>B项错误：</w:t>
      </w:r>
    </w:p>
    <w:p>
      <w:pPr>
        <w:spacing w:line="360" w:lineRule="auto" w:after="40"/>
        <w:ind w:firstLine="420"/>
      </w:pPr>
      <w:r>
        <w:t>无照和幌子公司是两个不同概念，题干未给出足以构成幌子公司的事实。</w:t>
      </w:r>
    </w:p>
    <w:p>
      <w:pPr>
        <w:spacing w:before="120" w:after="40"/>
      </w:pPr>
      <w:r>
        <w:rPr>
          <w:b/>
          <w:sz w:val="21"/>
          <w:shd w:fill="D6E4F0" w:val="clear"/>
        </w:rPr>
        <w:t>C项错误：</w:t>
      </w:r>
    </w:p>
    <w:p>
      <w:pPr>
        <w:spacing w:line="360" w:lineRule="auto" w:after="40"/>
        <w:ind w:firstLine="420"/>
      </w:pPr>
      <w:r>
        <w:t>注册信托本身可能是合法安排，通常还需无合理解释或复杂结构等附加事实。</w:t>
      </w:r>
    </w:p>
    <w:p>
      <w:pPr>
        <w:spacing w:before="120" w:after="40"/>
      </w:pPr>
      <w:r>
        <w:rPr>
          <w:b/>
          <w:sz w:val="21"/>
          <w:shd w:fill="D6E4F0" w:val="clear"/>
        </w:rPr>
        <w:t>E项错误：</w:t>
      </w:r>
    </w:p>
    <w:p>
      <w:pPr>
        <w:spacing w:line="360" w:lineRule="auto" w:after="40"/>
        <w:ind w:firstLine="420"/>
      </w:pPr>
      <w:r>
        <w:t>价值操纵确属相关风险，但题干要求选择风险最高的两项；现金交易和公司载体更直接对应教材强调的资金不可追溯与所有权遮蔽。</w:t>
      </w:r>
    </w:p>
    <w:p>
      <w:pPr>
        <w:spacing w:before="120" w:after="40"/>
      </w:pPr>
      <w:r>
        <w:rPr>
          <w:b/>
          <w:sz w:val="21"/>
          <w:shd w:fill="D6E4F0" w:val="clear"/>
        </w:rPr>
        <w:t>易错提醒：</w:t>
      </w:r>
    </w:p>
    <w:p>
      <w:pPr>
        <w:spacing w:line="360" w:lineRule="auto" w:after="40"/>
        <w:ind w:firstLine="420"/>
      </w:pPr>
      <w:r>
        <w:t>不要把“所有可能的房地产红旗”都选入；本题要求最高固有风险，先抓现金和法人载体两条主线（P121-P122）。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