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CH05 (中英对照)</w:t>
      </w:r>
    </w:p>
    <w:p>
      <w:pPr>
        <w:spacing w:line="360" w:lineRule="auto" w:after="160"/>
      </w:pPr>
      <w:r>
        <w:t>一、单项选择题</w:t>
      </w:r>
    </w:p>
    <w:p>
      <w:pPr>
        <w:spacing w:line="360" w:lineRule="auto" w:after="40"/>
      </w:pPr>
      <w:r>
        <w:t>1. 沃尔夫斯堡集团关于私人银行业务的反洗钱原则包括以下哪项内容？</w:t>
      </w:r>
      <w:r>
        <w:br/>
      </w:r>
      <w:r>
        <w:t>The Wolfsberg Group's AML Principles on Private Banking:</w:t>
      </w:r>
    </w:p>
    <w:p>
      <w:pPr>
        <w:spacing w:line="360" w:lineRule="auto" w:after="20"/>
      </w:pPr>
      <w:r>
        <w:t>A.协助在数据隐私标准较高的司法管辖区开展业务的金融机构与易受洗钱影响的行业合作</w:t>
      </w:r>
      <w:r>
        <w:br/>
      </w:r>
      <w:r>
        <w:t>Assist financial institutions conducting business in jurisdictions with high data privacy standards in working with industries susceptible to money laundering</w:t>
      </w:r>
    </w:p>
    <w:p>
      <w:pPr>
        <w:spacing w:line="360" w:lineRule="auto" w:after="20"/>
      </w:pPr>
      <w:r>
        <w:t>B.建议银行只接受资金来源和受益所有权已了解的客户</w:t>
      </w:r>
      <w:r>
        <w:br/>
      </w:r>
      <w:r>
        <w:t>Advise banks to accept only those clients whose source of funds and beneficial ownership is understood</w:t>
      </w:r>
    </w:p>
    <w:p>
      <w:pPr>
        <w:spacing w:line="360" w:lineRule="auto" w:after="20"/>
      </w:pPr>
      <w:r>
        <w:t>C.为私人银行家制定有关如何处理政治公众人物（PEP）和来自高风险国家人士的规则</w:t>
      </w:r>
      <w:r>
        <w:br/>
      </w:r>
      <w:r>
        <w:t>Establish rules for private bankers on how to deal with politically exposed persons (PEPs) and persons residing in high-risk countries</w:t>
      </w:r>
    </w:p>
    <w:p>
      <w:pPr>
        <w:spacing w:line="360" w:lineRule="auto" w:after="20"/>
      </w:pPr>
      <w:r>
        <w:t>D.要求银行更好地管理声誉风险并保护富裕客户的隐私</w:t>
      </w:r>
      <w:r>
        <w:br/>
      </w:r>
      <w:r>
        <w:t>Require banks to better manage reputational risk and protect the privacy of wealthy clients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沃尔夫斯堡集团私人银行原则要求了解客户的资金来源和受益所有权</w:t>
      </w:r>
    </w:p>
    <w:p>
      <w:pPr>
        <w:spacing w:before="120" w:after="40"/>
      </w:pPr>
      <w:r>
        <w:rPr>
          <w:b/>
          <w:sz w:val="21"/>
          <w:shd w:fill="D6E4F0" w:val="clear"/>
        </w:rPr>
        <w:t>核心解析：</w:t>
      </w:r>
    </w:p>
    <w:p>
      <w:pPr>
        <w:spacing w:line="360" w:lineRule="auto" w:after="40"/>
        <w:ind w:firstLine="420"/>
      </w:pPr>
      <w:r>
        <w:t>沃尔夫斯堡集团的私人银行原则强调，银行应充分了解客户，包括客户的</w:t>
      </w:r>
      <w:r>
        <w:rPr>
          <w:b/>
        </w:rPr>
        <w:t>资金或财富来源</w:t>
      </w:r>
      <w:r>
        <w:t>以及</w:t>
      </w:r>
      <w:r>
        <w:rPr>
          <w:b/>
        </w:rPr>
        <w:t>受益所有权</w:t>
      </w:r>
      <w:r>
        <w:t>。教材指出，银行应调查并记录客户如何获得财富</w:t>
      </w:r>
      <w:r>
        <w:rPr>
          <w:sz w:val="15"/>
          <w:vertAlign w:val="superscript"/>
        </w:rPr>
        <w:t>P169</w:t>
      </w:r>
      <w:r>
        <w:t>，这与选项B所述“只接受资金来源和受益所有权已得到了解的客户”最直接对应。选项C提到PEP和高风险国家人士，虽然与私人银行风险管理有关，但教材使用的是PEP、离岸实体和高风险客户等概念，不能把离岸实体或所有高风险客户简单等同于来自高风险国家的人士。因此，在给定选项中，B更符合沃尔夫斯堡私人银行原则的客户准入与尽职调查要求。</w:t>
      </w:r>
    </w:p>
    <w:p>
      <w:pPr>
        <w:spacing w:before="120" w:after="40"/>
      </w:pPr>
      <w:r>
        <w:rPr>
          <w:b/>
          <w:sz w:val="21"/>
          <w:shd w:fill="D6E4F0" w:val="clear"/>
        </w:rPr>
        <w:t>教材原句：</w:t>
      </w:r>
    </w:p>
    <w:p>
      <w:pPr>
        <w:spacing w:line="360" w:lineRule="auto" w:after="40"/>
        <w:ind w:firstLine="420"/>
      </w:pPr>
      <w:r>
        <w:t>"Source of wealth and funds: Banks should investigate and document how clients acquired their wealth."</w:t>
      </w:r>
    </w:p>
    <w:p>
      <w:pPr>
        <w:spacing w:before="120" w:after="40"/>
      </w:pPr>
      <w:r>
        <w:rPr>
          <w:b/>
          <w:sz w:val="21"/>
          <w:shd w:fill="D6E4F0" w:val="clear"/>
        </w:rPr>
        <w:t>A项错误：</w:t>
      </w:r>
    </w:p>
    <w:p>
      <w:pPr>
        <w:spacing w:line="360" w:lineRule="auto" w:after="40"/>
        <w:ind w:firstLine="420"/>
      </w:pPr>
      <w:r>
        <w:t>选项A描述数据隐私标准较高司法管辖区中的行业合作，并非沃尔夫斯堡私人银行原则关于客户准入和尽职调查的核心内容。</w:t>
      </w:r>
    </w:p>
    <w:p>
      <w:pPr>
        <w:spacing w:before="120" w:after="40"/>
      </w:pPr>
      <w:r>
        <w:rPr>
          <w:b/>
          <w:sz w:val="21"/>
          <w:shd w:fill="D6E4F0" w:val="clear"/>
        </w:rPr>
        <w:t>C项错误：</w:t>
      </w:r>
    </w:p>
    <w:p>
      <w:pPr>
        <w:spacing w:line="360" w:lineRule="auto" w:after="40"/>
        <w:ind w:firstLine="420"/>
      </w:pPr>
      <w:r>
        <w:t>沃尔夫斯堡原则确实关注PEP、离岸实体和高风险客户，但“来自高风险国家人士”不能完整替代这些概念。相比之下，B对资金来源和受益所有权的要求更直接对应私人银行原则。</w:t>
      </w:r>
    </w:p>
    <w:p>
      <w:pPr>
        <w:spacing w:before="120" w:after="40"/>
      </w:pPr>
      <w:r>
        <w:rPr>
          <w:b/>
          <w:sz w:val="21"/>
          <w:shd w:fill="D6E4F0" w:val="clear"/>
        </w:rPr>
        <w:t>D项错误：</w:t>
      </w:r>
    </w:p>
    <w:p>
      <w:pPr>
        <w:spacing w:line="360" w:lineRule="auto" w:after="40"/>
        <w:ind w:firstLine="420"/>
      </w:pPr>
      <w:r>
        <w:t>沃尔夫斯堡集团发布的指引旨在协助成员管理金融犯罪风险，保护其业务免受犯罪滥用</w:t>
      </w:r>
      <w:r>
        <w:rPr>
          <w:sz w:val="15"/>
          <w:vertAlign w:val="superscript"/>
        </w:rPr>
        <w:t>P168</w:t>
      </w:r>
      <w:r>
        <w:t>，而不是以保护富裕客户隐私为核心目标。因此，D不如B符合私人银行原则的客户了解要求。</w:t>
      </w:r>
    </w:p>
    <w:p>
      <w:pPr>
        <w:spacing w:before="120" w:after="40"/>
      </w:pPr>
      <w:r>
        <w:rPr>
          <w:b/>
          <w:sz w:val="21"/>
          <w:shd w:fill="D6E4F0" w:val="clear"/>
        </w:rPr>
        <w:t>易错提醒：</w:t>
      </w:r>
    </w:p>
    <w:p>
      <w:pPr>
        <w:spacing w:line="360" w:lineRule="auto" w:after="40"/>
        <w:ind w:firstLine="420"/>
      </w:pPr>
      <w:r>
        <w:t>本题容易在B和C之间犹豫。C涉及PEP和高风险因素，但把离岸实体、高风险客户概括成“来自高风险国家人士”并不准确；B则直接落实了私人银行原则对资金来源和受益所有权透明度的要求，因此更符合题意。</w:t>
      </w:r>
    </w:p>
    <w:p>
      <w:pPr>
        <w:spacing w:line="360" w:lineRule="auto" w:after="120"/>
      </w:pPr>
      <w:r/>
    </w:p>
    <w:p>
      <w:pPr>
        <w:spacing w:line="360" w:lineRule="auto" w:after="40"/>
      </w:pPr>
      <w:r>
        <w:t>2. 基于沃尔夫斯堡集团阐述的反洗钱原则，私人银行和代理银行在监测恐怖融资方面有哪些共同之处？</w:t>
      </w:r>
      <w:r>
        <w:br/>
      </w:r>
      <w:r>
        <w:t>Based on the AML principles outlined by the Wolfsberg Group, what do private and correspondent banks have in common when monitoring for terrorist financing?</w:t>
      </w:r>
    </w:p>
    <w:p>
      <w:pPr>
        <w:spacing w:line="360" w:lineRule="auto" w:after="20"/>
      </w:pPr>
      <w:r>
        <w:t>A.预付卡提供现金提取功能，会增加该卡被用于洗钱的可能性</w:t>
      </w:r>
      <w:r>
        <w:br/>
      </w:r>
      <w:r>
        <w:t>Cash access from a prepaid card increases the potential that the card will be used for money laundering purposes</w:t>
      </w:r>
    </w:p>
    <w:p>
      <w:pPr>
        <w:spacing w:line="360" w:lineRule="auto" w:after="20"/>
      </w:pPr>
      <w:r>
        <w:t>B.交易监控会审查尽职调查信息与账户关闭之间的关系</w:t>
      </w:r>
      <w:r>
        <w:br/>
      </w:r>
      <w:r>
        <w:t>Transaction monitoring examines the relationship between due diligence information and account closings</w:t>
      </w:r>
    </w:p>
    <w:p>
      <w:pPr>
        <w:spacing w:line="360" w:lineRule="auto" w:after="20"/>
      </w:pPr>
      <w:r>
        <w:t>C.在对客户进行适当的身份识别和验证之后，将对其账户和交易活动进行监控</w:t>
      </w:r>
      <w:r>
        <w:br/>
      </w:r>
      <w:r>
        <w:t>Account and transactional activity are monitored after the proper identification and verification of customers</w:t>
      </w:r>
    </w:p>
    <w:p>
      <w:pPr>
        <w:spacing w:line="360" w:lineRule="auto" w:after="20"/>
      </w:pPr>
      <w:r>
        <w:t>D.只有在银行确认客户及受益所有人的身份后，才会接受编号账户或化名账户</w:t>
      </w:r>
      <w:r>
        <w:br/>
      </w:r>
      <w:r>
        <w:t>Numbered or alternative-name accounts will only be accepted if the bank has established the identity of the customer and beneficial owner</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理解客户身份识别是交易监控的前提这一核心流程</w:t>
      </w:r>
    </w:p>
    <w:p>
      <w:pPr>
        <w:spacing w:before="120" w:after="40"/>
      </w:pPr>
      <w:r>
        <w:rPr>
          <w:b/>
          <w:sz w:val="21"/>
          <w:shd w:fill="D6E4F0" w:val="clear"/>
        </w:rPr>
        <w:t>核心解析：</w:t>
      </w:r>
    </w:p>
    <w:p>
      <w:pPr>
        <w:spacing w:line="360" w:lineRule="auto" w:after="40"/>
        <w:ind w:firstLine="420"/>
      </w:pPr>
      <w:r>
        <w:t>沃尔夫斯堡集团的金融犯罪防控指引同时强调两个相互衔接的环节：银行应</w:t>
      </w:r>
      <w:r>
        <w:rPr>
          <w:b/>
        </w:rPr>
        <w:t>核实客户身份并评估其风险状况</w:t>
      </w:r>
      <w:r>
        <w:rPr>
          <w:sz w:val="15"/>
          <w:vertAlign w:val="superscript"/>
        </w:rPr>
        <w:t>P168</w:t>
      </w:r>
      <w:r>
        <w:t>，还应</w:t>
      </w:r>
      <w:r>
        <w:rPr>
          <w:b/>
        </w:rPr>
        <w:t>持续审查交易以发现可疑活动</w:t>
      </w:r>
      <w:r>
        <w:rPr>
          <w:sz w:val="15"/>
          <w:vertAlign w:val="superscript"/>
        </w:rPr>
        <w:t>P169</w:t>
      </w:r>
      <w:r>
        <w:t>。教材另指出，交易监控在客户准入后开始</w:t>
      </w:r>
      <w:r>
        <w:rPr>
          <w:sz w:val="15"/>
          <w:vertAlign w:val="superscript"/>
        </w:rPr>
        <w:t>P329</w:t>
      </w:r>
      <w:r>
        <w:t>。选项C将这两个环节准确连接起来，即先适当识别和验证客户，再持续监控其账户和交易活动。这一流程同时适用于私人银行和代理银行，因此C是两类银行在监测恐怖融资方面的共同点。</w:t>
      </w:r>
    </w:p>
    <w:p>
      <w:pPr>
        <w:spacing w:before="120" w:after="40"/>
      </w:pPr>
      <w:r>
        <w:rPr>
          <w:b/>
          <w:sz w:val="21"/>
          <w:shd w:fill="D6E4F0" w:val="clear"/>
        </w:rPr>
        <w:t>教材原句：</w:t>
      </w:r>
    </w:p>
    <w:p>
      <w:pPr>
        <w:spacing w:line="360" w:lineRule="auto" w:after="40"/>
        <w:ind w:firstLine="420"/>
      </w:pPr>
      <w:r>
        <w:t>"KYC: Banks should verify client identities and assess their risk profiles."；"Ongoing monitoring: Banks should conduct continuous reviews of transactions to detect suspicious activities."</w:t>
      </w:r>
    </w:p>
    <w:p>
      <w:pPr>
        <w:spacing w:before="120" w:after="40"/>
      </w:pPr>
      <w:r>
        <w:rPr>
          <w:b/>
          <w:sz w:val="21"/>
          <w:shd w:fill="D6E4F0" w:val="clear"/>
        </w:rPr>
        <w:t>A项错误：</w:t>
      </w:r>
    </w:p>
    <w:p>
      <w:pPr>
        <w:spacing w:line="360" w:lineRule="auto" w:after="40"/>
        <w:ind w:firstLine="420"/>
      </w:pPr>
      <w:r>
        <w:t>A描述的是预付卡现金提取带来的产品风险，没有说明私人银行和代理银行在客户识别及交易监控方面的共同做法，与题干所问的业务主体和监控流程不匹配。</w:t>
      </w:r>
    </w:p>
    <w:p>
      <w:pPr>
        <w:spacing w:before="120" w:after="40"/>
      </w:pPr>
      <w:r>
        <w:rPr>
          <w:b/>
          <w:sz w:val="21"/>
          <w:shd w:fill="D6E4F0" w:val="clear"/>
        </w:rPr>
        <w:t>B项错误：</w:t>
      </w:r>
    </w:p>
    <w:p>
      <w:pPr>
        <w:spacing w:line="360" w:lineRule="auto" w:after="40"/>
        <w:ind w:firstLine="420"/>
      </w:pPr>
      <w:r>
        <w:t>沃尔夫斯堡指引将持续监控的目的表述为审查交易并发现可疑活动</w:t>
      </w:r>
      <w:r>
        <w:rPr>
          <w:sz w:val="15"/>
          <w:vertAlign w:val="superscript"/>
        </w:rPr>
        <w:t>P169</w:t>
      </w:r>
      <w:r>
        <w:t>，而不是审查尽职调查信息与账户关闭之间的关系。B没有准确描述交易监控的职能。</w:t>
      </w:r>
    </w:p>
    <w:p>
      <w:pPr>
        <w:spacing w:before="120" w:after="40"/>
      </w:pPr>
      <w:r>
        <w:rPr>
          <w:b/>
          <w:sz w:val="21"/>
          <w:shd w:fill="D6E4F0" w:val="clear"/>
        </w:rPr>
        <w:t>D项错误：</w:t>
      </w:r>
    </w:p>
    <w:p>
      <w:pPr>
        <w:spacing w:line="360" w:lineRule="auto" w:after="40"/>
        <w:ind w:firstLine="420"/>
      </w:pPr>
      <w:r>
        <w:t>D描述的是接受编号账户或化名账户时的身份确认条件，属于特定账户安排，而非私人银行和代理银行共有的持续交易监控流程。相比之下，C直接涵盖两类银行都需要实施的客户识别和持续监控。</w:t>
      </w:r>
    </w:p>
    <w:p>
      <w:pPr>
        <w:spacing w:before="120" w:after="40"/>
      </w:pPr>
      <w:r>
        <w:rPr>
          <w:b/>
          <w:sz w:val="21"/>
          <w:shd w:fill="D6E4F0" w:val="clear"/>
        </w:rPr>
        <w:t>易错提醒：</w:t>
      </w:r>
    </w:p>
    <w:p>
      <w:pPr>
        <w:spacing w:line="360" w:lineRule="auto" w:after="40"/>
        <w:ind w:firstLine="420"/>
      </w:pPr>
      <w:r>
        <w:t>判断两类银行的“共同点”时，应寻找两者都适用的通用流程，而不是某类产品或账户的特殊规则。沃尔夫斯堡框架下，客户身份核实和持续交易监控是前后衔接的控制措施：前者确认客户及风险状况，后者在客户准入后持续发现异常或可疑活动。</w:t>
      </w:r>
    </w:p>
    <w:p>
      <w:pPr>
        <w:spacing w:line="360" w:lineRule="auto" w:after="120"/>
      </w:pPr>
      <w:r/>
    </w:p>
    <w:p>
      <w:pPr>
        <w:spacing w:line="360" w:lineRule="auto" w:after="40"/>
      </w:pPr>
      <w:r>
        <w:t>3. 埃格蒙特集团的一项基本原则是：</w:t>
      </w:r>
      <w:r>
        <w:br/>
      </w:r>
      <w:r>
        <w:t>A basic principle of the Egmont Group is to:</w:t>
      </w:r>
    </w:p>
    <w:p>
      <w:pPr>
        <w:spacing w:line="360" w:lineRule="auto" w:after="20"/>
      </w:pPr>
      <w:r>
        <w:t>A.发布有关报告可疑情况的标准</w:t>
      </w:r>
      <w:r>
        <w:br/>
      </w:r>
      <w:r>
        <w:t>Publish standards for reporting suspicious matters</w:t>
      </w:r>
    </w:p>
    <w:p>
      <w:pPr>
        <w:spacing w:line="360" w:lineRule="auto" w:after="20"/>
      </w:pPr>
      <w:r>
        <w:t>B.促进监管机构的组织工作</w:t>
      </w:r>
      <w:r>
        <w:br/>
      </w:r>
      <w:r>
        <w:t>Facilitate the organization of regulatory authorities</w:t>
      </w:r>
    </w:p>
    <w:p>
      <w:pPr>
        <w:spacing w:line="360" w:lineRule="auto" w:after="20"/>
      </w:pPr>
      <w:r>
        <w:t>C.发布关于国际调查所作决定的信息</w:t>
      </w:r>
      <w:r>
        <w:br/>
      </w:r>
      <w:r>
        <w:t>Publish decisions taken on international investigations</w:t>
      </w:r>
    </w:p>
    <w:p>
      <w:pPr>
        <w:spacing w:line="360" w:lineRule="auto" w:after="20"/>
      </w:pPr>
      <w:r>
        <w:t>D.建立金融情报机构（FIU）之间的信息共享机制</w:t>
      </w:r>
      <w:r>
        <w:br/>
      </w:r>
      <w:r>
        <w:t>Arrange information-sharing protocols between Financial Intelligence Units (FIUs)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埃格蒙特集团的核心性质是各国FIU间的合作与信息共享网络</w:t>
      </w:r>
    </w:p>
    <w:p>
      <w:pPr>
        <w:spacing w:before="120" w:after="40"/>
      </w:pPr>
      <w:r>
        <w:rPr>
          <w:b/>
          <w:sz w:val="21"/>
          <w:shd w:fill="D6E4F0" w:val="clear"/>
        </w:rPr>
        <w:t>核心解析：</w:t>
      </w:r>
    </w:p>
    <w:p>
      <w:pPr>
        <w:spacing w:line="360" w:lineRule="auto" w:after="40"/>
        <w:ind w:firstLine="420"/>
      </w:pPr>
      <w:r>
        <w:t>埃格蒙特集团是</w:t>
      </w:r>
      <w:r>
        <w:rPr>
          <w:b/>
        </w:rPr>
        <w:t>各国金融情报机构（FIU）的国际网络</w:t>
      </w:r>
      <w:r>
        <w:t>，旨在促进成员间的合作与情报共享，以打击洗钱和恐怖融资等金融犯罪</w:t>
      </w:r>
      <w:r>
        <w:rPr>
          <w:sz w:val="15"/>
          <w:vertAlign w:val="superscript"/>
        </w:rPr>
        <w:t>P167</w:t>
      </w:r>
      <w:r>
        <w:t>。其核心要义在于连接各国FIU并促进信息互通。四个选项中，只有D将主体准确地落在FIU之间的信息共享上，直接体现了埃格蒙特集团的基本原则。</w:t>
      </w:r>
    </w:p>
    <w:p>
      <w:pPr>
        <w:spacing w:before="120" w:after="40"/>
      </w:pPr>
      <w:r>
        <w:rPr>
          <w:b/>
          <w:sz w:val="21"/>
          <w:shd w:fill="D6E4F0" w:val="clear"/>
        </w:rPr>
        <w:t>教材原句：</w:t>
      </w:r>
    </w:p>
    <w:p>
      <w:pPr>
        <w:spacing w:line="360" w:lineRule="auto" w:after="40"/>
        <w:ind w:firstLine="420"/>
      </w:pPr>
      <w:r>
        <w:t>"The Egmont Group is an international network of national FIUs that facilitates cooperation and intelligence sharing among its members to combat money laundering, terrorist financing, and other financial crimes."</w:t>
      </w:r>
    </w:p>
    <w:p>
      <w:pPr>
        <w:spacing w:before="120" w:after="40"/>
      </w:pPr>
      <w:r>
        <w:rPr>
          <w:b/>
          <w:sz w:val="21"/>
          <w:shd w:fill="D6E4F0" w:val="clear"/>
        </w:rPr>
        <w:t>A项错误：发布报告可疑情况的标准：</w:t>
      </w:r>
    </w:p>
    <w:p>
      <w:pPr>
        <w:spacing w:line="360" w:lineRule="auto" w:after="40"/>
        <w:ind w:firstLine="420"/>
      </w:pPr>
      <w:r>
        <w:t>教材提到埃格蒙特集团有关键职能“标准制定”（Standard-setting），旨在提高FIU运作效率</w:t>
      </w:r>
      <w:r>
        <w:rPr>
          <w:sz w:val="15"/>
          <w:vertAlign w:val="superscript"/>
        </w:rPr>
        <w:t>P167</w:t>
      </w:r>
      <w:r>
        <w:t>。但它的标准制定更多是为了协调FIU间的国际合作与信息交换标准</w:t>
      </w:r>
      <w:r>
        <w:rPr>
          <w:sz w:val="15"/>
          <w:vertAlign w:val="superscript"/>
        </w:rPr>
        <w:t>P167</w:t>
      </w:r>
      <w:r>
        <w:t>，而非作为核心原则直接对全行业发布“报告可疑情况”的普适性标准。相比之下，D提及的FIU间信息共享是其作为网络存在的根基，匹配度更直接。</w:t>
      </w:r>
    </w:p>
    <w:p>
      <w:pPr>
        <w:spacing w:before="120" w:after="40"/>
      </w:pPr>
      <w:r>
        <w:rPr>
          <w:b/>
          <w:sz w:val="21"/>
          <w:shd w:fill="D6E4F0" w:val="clear"/>
        </w:rPr>
        <w:t>B项错误：</w:t>
      </w:r>
    </w:p>
    <w:p>
      <w:pPr>
        <w:spacing w:line="360" w:lineRule="auto" w:after="40"/>
        <w:ind w:firstLine="420"/>
      </w:pPr>
      <w:r>
        <w:t>促进监管机构的组织工作（Facilitate the organization of regulatory authorities）：埃格蒙特集团是一个由“金融情报机构（FIU）”组成的网络</w:t>
      </w:r>
      <w:r>
        <w:rPr>
          <w:sz w:val="15"/>
          <w:vertAlign w:val="superscript"/>
        </w:rPr>
        <w:t>P167</w:t>
      </w:r>
      <w:r>
        <w:t>，其主体是FIU而非广义的“监管机构”（regulatory authorities）。教材在别处定义了监管联络的职能，但那属于合规部门</w:t>
      </w:r>
      <w:r>
        <w:rPr>
          <w:sz w:val="15"/>
          <w:vertAlign w:val="superscript"/>
        </w:rPr>
        <w:t>P255</w:t>
      </w:r>
      <w:r>
        <w:t>或其他组织的职责，与该集团的定位不匹配。</w:t>
      </w:r>
    </w:p>
    <w:p>
      <w:pPr>
        <w:spacing w:before="120" w:after="40"/>
      </w:pPr>
      <w:r>
        <w:rPr>
          <w:b/>
          <w:sz w:val="21"/>
          <w:shd w:fill="D6E4F0" w:val="clear"/>
        </w:rPr>
        <w:t>C项错误：</w:t>
      </w:r>
    </w:p>
    <w:p>
      <w:pPr>
        <w:spacing w:line="360" w:lineRule="auto" w:after="40"/>
        <w:ind w:firstLine="420"/>
      </w:pPr>
      <w:r>
        <w:t>发布关于国际调查所作决定的信息（Publish decisions taken on international investigations）：埃格蒙特集团的职能是促进FIU间的“情报共享”（intelligence sharing），即分享原始情报信息</w:t>
      </w:r>
      <w:r>
        <w:rPr>
          <w:sz w:val="15"/>
          <w:vertAlign w:val="superscript"/>
        </w:rPr>
        <w:t>P167</w:t>
      </w:r>
      <w:r>
        <w:t>，而非像一个司法机构那样去“发布关于国际调查的决定”。FATF建议中提及的信息交换和联合调查</w:t>
      </w:r>
      <w:r>
        <w:rPr>
          <w:sz w:val="15"/>
          <w:vertAlign w:val="superscript"/>
        </w:rPr>
        <w:t>P149</w:t>
      </w:r>
      <w:r>
        <w:t>也是为了协助调查，而非发布调查决定。</w:t>
      </w:r>
    </w:p>
    <w:p>
      <w:pPr>
        <w:spacing w:before="120" w:after="40"/>
      </w:pPr>
      <w:r>
        <w:rPr>
          <w:b/>
          <w:sz w:val="21"/>
          <w:shd w:fill="D6E4F0" w:val="clear"/>
        </w:rPr>
        <w:t>易错提醒：</w:t>
      </w:r>
    </w:p>
    <w:p>
      <w:pPr>
        <w:spacing w:line="360" w:lineRule="auto" w:after="40"/>
        <w:ind w:firstLine="420"/>
      </w:pPr>
      <w:r>
        <w:t>埃格蒙特集团虽有“标准制定”职能，但它制定的标准更侧重于协调FIU间如何进行信息交换和国际合作</w:t>
      </w:r>
      <w:r>
        <w:rPr>
          <w:sz w:val="15"/>
          <w:vertAlign w:val="superscript"/>
        </w:rPr>
        <w:t>P167</w:t>
      </w:r>
      <w:r>
        <w:t>，而不是直接制定面向全行业金融机构的“报告可疑情况”标准。看到“标准”就选，容易掉坑。</w:t>
      </w:r>
    </w:p>
    <w:p>
      <w:pPr>
        <w:spacing w:line="360" w:lineRule="auto" w:after="120"/>
      </w:pPr>
      <w:r/>
    </w:p>
    <w:p>
      <w:pPr>
        <w:spacing w:line="360" w:lineRule="auto" w:after="40"/>
      </w:pPr>
      <w:r>
        <w:t>4. 沃尔夫斯堡集团2012年发布的《私人银行原则》确立了以下哪项原则？</w:t>
      </w:r>
      <w:r>
        <w:br/>
      </w:r>
      <w:r>
        <w:t>The Wolfsberg Group's 2012 "Principles for Private Banking" established that:</w:t>
      </w:r>
    </w:p>
    <w:p>
      <w:pPr>
        <w:spacing w:line="360" w:lineRule="auto" w:after="20"/>
      </w:pPr>
      <w:r>
        <w:t>A.私人银行一致认为,客户实际受益所有权的透明度是必要且恰当的.</w:t>
      </w:r>
      <w:r>
        <w:br/>
      </w:r>
      <w:r>
        <w:t>Private banks agree that transparency of client beneficial ownership is necessary and appropriate</w:t>
      </w:r>
    </w:p>
    <w:p>
      <w:pPr>
        <w:spacing w:line="360" w:lineRule="auto" w:after="20"/>
      </w:pPr>
      <w:r>
        <w:t>B.对私人银行客户的尽职调查要求对于预防上游犯罪是必要的.</w:t>
      </w:r>
      <w:r>
        <w:br/>
      </w:r>
      <w:r>
        <w:t>Due diligence requirements for private banking customers are necessary to prevent predicate offenses</w:t>
      </w:r>
    </w:p>
    <w:p>
      <w:pPr>
        <w:spacing w:line="360" w:lineRule="auto" w:after="20"/>
      </w:pPr>
      <w:r>
        <w:t>C.基于风险的方法不足以应对私人银行业务所带来的风险加剧问题</w:t>
      </w:r>
      <w:r>
        <w:br/>
      </w:r>
      <w:r>
        <w:t>Risk-based approaches are insufficient to address the heightened risk presented through private banking</w:t>
      </w:r>
    </w:p>
    <w:p>
      <w:pPr>
        <w:spacing w:line="360" w:lineRule="auto" w:after="20"/>
      </w:pPr>
      <w:r>
        <w:t>D.私人银行需要更好地协调和统一其全球反洗钱控制环境策略.</w:t>
      </w:r>
      <w:r>
        <w:br/>
      </w:r>
      <w:r>
        <w:t>Private banks need to better coordinate and align their global AML control environment strategies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识别2012年修订版《私人银行原则》对受益所有权识别与验证的要求</w:t>
      </w:r>
    </w:p>
    <w:p>
      <w:pPr>
        <w:spacing w:before="120" w:after="40"/>
      </w:pPr>
      <w:r>
        <w:rPr>
          <w:b/>
          <w:sz w:val="21"/>
          <w:shd w:fill="D6E4F0" w:val="clear"/>
        </w:rPr>
        <w:t>核心解析：</w:t>
      </w:r>
    </w:p>
    <w:p>
      <w:pPr>
        <w:spacing w:line="360" w:lineRule="auto" w:after="40"/>
        <w:ind w:firstLine="420"/>
      </w:pPr>
      <w:r>
        <w:t>教材指出，沃尔夫斯堡集团定期修订私人银行原则，为金融机构识别和缓释高净值客户、政治敏感人物（PEPs）及离岸实体相关风险提供最佳实践</w:t>
      </w:r>
      <w:r>
        <w:rPr>
          <w:sz w:val="15"/>
          <w:vertAlign w:val="superscript"/>
        </w:rPr>
        <w:t>P168</w:t>
      </w:r>
      <w:r>
        <w:t>；教材也将客户利用私人投资公司或复杂所有权结构</w:t>
      </w:r>
      <w:r>
        <w:rPr>
          <w:b/>
        </w:rPr>
        <w:t>降低最终受益所有人透明度</w:t>
      </w:r>
      <w:r>
        <w:t>列为私人银行风险</w:t>
      </w:r>
      <w:r>
        <w:rPr>
          <w:sz w:val="15"/>
          <w:vertAlign w:val="superscript"/>
        </w:rPr>
        <w:t>P71</w:t>
      </w:r>
      <w:r>
        <w:t>。</w:t>
      </w:r>
    </w:p>
    <w:p>
      <w:pPr>
        <w:spacing w:line="360" w:lineRule="auto" w:after="40"/>
        <w:ind w:firstLine="420"/>
      </w:pPr>
      <w:r>
        <w:t>2012年修订版《私人银行原则》第1.2.3节规定，出于反洗钱目的，所有账户都必须确定受益所有权；每名受益所有人的身份均应被确定，并在适当情况下予以验证。选项A所称的受益所有权透明度，是对这一识别与验证要求的概括，因此在给定选项中最符合《私人银行原则》。</w:t>
      </w:r>
    </w:p>
    <w:p>
      <w:pPr>
        <w:spacing w:line="360" w:lineRule="auto" w:after="40"/>
        <w:ind w:firstLine="420"/>
      </w:pPr>
      <w:r>
        <w:t>官方原文："Beneficial ownership, for AML purposes, must be established for all accounts."</w:t>
      </w:r>
    </w:p>
    <w:p>
      <w:pPr>
        <w:spacing w:before="120" w:after="40"/>
      </w:pPr>
      <w:r>
        <w:rPr>
          <w:b/>
          <w:sz w:val="21"/>
          <w:shd w:fill="D6E4F0" w:val="clear"/>
        </w:rPr>
        <w:t>教材原句：</w:t>
      </w:r>
    </w:p>
    <w:p>
      <w:pPr>
        <w:spacing w:line="360" w:lineRule="auto" w:after="40"/>
        <w:ind w:firstLine="420"/>
      </w:pPr>
      <w:r>
        <w:t>"Customers who use private investment companies or complex ownership structures to reduce the transparency of the ultimate beneficial owners."</w:t>
      </w:r>
    </w:p>
    <w:p>
      <w:pPr>
        <w:spacing w:before="120" w:after="40"/>
      </w:pPr>
      <w:r>
        <w:rPr>
          <w:b/>
          <w:sz w:val="21"/>
          <w:shd w:fill="D6E4F0" w:val="clear"/>
        </w:rPr>
        <w:t>B项错误：</w:t>
      </w:r>
    </w:p>
    <w:p>
      <w:pPr>
        <w:spacing w:line="360" w:lineRule="auto" w:after="40"/>
        <w:ind w:firstLine="420"/>
      </w:pPr>
      <w:r>
        <w:t>2012年修订版前言将相关政策和程序的目标表述为防止银行全球业务被用于犯罪、降低洗钱风险并配合政府侦测洗钱；文件也要求对客户开展尽职调查。它没有将私人银行客户尽职调查规定为“预防上游犯罪”的手段。相比之下，A直接对应第1.2.3节的受益所有权识别与验证要求。</w:t>
      </w:r>
    </w:p>
    <w:p>
      <w:pPr>
        <w:spacing w:before="120" w:after="40"/>
      </w:pPr>
      <w:r>
        <w:rPr>
          <w:b/>
          <w:sz w:val="21"/>
          <w:shd w:fill="D6E4F0" w:val="clear"/>
        </w:rPr>
        <w:t>C项错误：</w:t>
      </w:r>
    </w:p>
    <w:p>
      <w:pPr>
        <w:spacing w:line="360" w:lineRule="auto" w:after="40"/>
        <w:ind w:firstLine="420"/>
      </w:pPr>
      <w:r>
        <w:t>2012年修订版前言要求相关政策和程序体现风险为本方法，第1.3节也明确要求银行运用风险为本方法核实客户信息。选项C称风险为本方法不足以应对私人银行风险，与原文件采用该方法的立场直接冲突。教材也记载沃尔夫斯堡集团强调应根据客户、交易或司法管辖区的风险水平分配资源</w:t>
      </w:r>
      <w:r>
        <w:rPr>
          <w:sz w:val="15"/>
          <w:vertAlign w:val="superscript"/>
        </w:rPr>
        <w:t>P169</w:t>
      </w:r>
      <w:r>
        <w:t>。</w:t>
      </w:r>
    </w:p>
    <w:p>
      <w:pPr>
        <w:spacing w:before="120" w:after="40"/>
      </w:pPr>
      <w:r>
        <w:rPr>
          <w:b/>
          <w:sz w:val="21"/>
          <w:shd w:fill="D6E4F0" w:val="clear"/>
        </w:rPr>
        <w:t>D项错误：</w:t>
      </w:r>
    </w:p>
    <w:p>
      <w:pPr>
        <w:spacing w:line="360" w:lineRule="auto" w:after="40"/>
        <w:ind w:firstLine="420"/>
      </w:pPr>
      <w:r>
        <w:t>原文件讨论的是单家银行应如何建立客户接受、尽职调查、持续监控和内部控制要求。前言虽提到防止银行的全球业务被用于犯罪，但没有确立“私人银行之间应协调和统一全球AML控制环境策略”这一命题。D把机构内部控制要求扩展成了行业间全球协调要求。</w:t>
      </w:r>
    </w:p>
    <w:p>
      <w:pPr>
        <w:spacing w:before="120" w:after="40"/>
      </w:pPr>
      <w:r>
        <w:rPr>
          <w:b/>
          <w:sz w:val="21"/>
          <w:shd w:fill="D6E4F0" w:val="clear"/>
        </w:rPr>
        <w:t>易错提醒：</w:t>
      </w:r>
    </w:p>
    <w:p>
      <w:pPr>
        <w:spacing w:line="360" w:lineRule="auto" w:after="40"/>
        <w:ind w:firstLine="420"/>
      </w:pPr>
      <w:r>
        <w:t>私人银行原则最初形成于2000年，2002年和2012年的文件属于后续修订版。其核心要求是为所有账户确定受益所有权，并识别受益所有人；必要时还应进行验证。</w:t>
      </w:r>
    </w:p>
    <w:p>
      <w:pPr>
        <w:spacing w:line="360" w:lineRule="auto" w:after="120"/>
      </w:pPr>
      <w:r/>
    </w:p>
    <w:p>
      <w:pPr>
        <w:spacing w:line="360" w:lineRule="auto" w:after="40"/>
      </w:pPr>
      <w:r>
        <w:t>5. 根据巴塞尔委员会的指导方针,应由组织的哪个层级来决定是否与高风险客户建立业务关系？</w:t>
      </w:r>
      <w:r>
        <w:br/>
      </w:r>
      <w:r>
        <w:t>According to Basel Committee guidelines, which level of the organization should determine whether or not to enter business relationships with higher-risk customers?</w:t>
      </w:r>
    </w:p>
    <w:p>
      <w:pPr>
        <w:spacing w:line="360" w:lineRule="auto" w:after="20"/>
      </w:pPr>
      <w:r>
        <w:t>A.账户开户人员</w:t>
      </w:r>
      <w:r>
        <w:br/>
      </w:r>
      <w:r>
        <w:t>Account opening staff</w:t>
      </w:r>
    </w:p>
    <w:p>
      <w:pPr>
        <w:spacing w:line="360" w:lineRule="auto" w:after="20"/>
      </w:pPr>
      <w:r>
        <w:t>B.中层管理人员</w:t>
      </w:r>
      <w:r>
        <w:br/>
      </w:r>
      <w:r>
        <w:t>Middle management</w:t>
      </w:r>
    </w:p>
    <w:p>
      <w:pPr>
        <w:spacing w:line="360" w:lineRule="auto" w:after="20"/>
      </w:pPr>
      <w:r>
        <w:t>C.高级管理层</w:t>
      </w:r>
      <w:r>
        <w:br/>
      </w:r>
      <w:r>
        <w:t>Senior management</w:t>
      </w:r>
    </w:p>
    <w:p>
      <w:pPr>
        <w:spacing w:line="360" w:lineRule="auto" w:after="20"/>
      </w:pPr>
      <w:r>
        <w:t>D.基层管理层</w:t>
      </w:r>
      <w:r>
        <w:br/>
      </w:r>
      <w:r>
        <w:t>First-level management</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高风险客户准入决策的审批层级归属</w:t>
      </w:r>
    </w:p>
    <w:p>
      <w:pPr>
        <w:spacing w:before="120" w:after="40"/>
      </w:pPr>
      <w:r>
        <w:rPr>
          <w:b/>
          <w:sz w:val="21"/>
          <w:shd w:fill="D6E4F0" w:val="clear"/>
        </w:rPr>
        <w:t>核心解析：</w:t>
      </w:r>
    </w:p>
    <w:p>
      <w:pPr>
        <w:spacing w:line="360" w:lineRule="auto" w:after="40"/>
        <w:ind w:firstLine="420"/>
      </w:pPr>
      <w:r>
        <w:t>巴塞尔委员会的KYC指导将</w:t>
      </w:r>
      <w:r>
        <w:rPr>
          <w:b/>
        </w:rPr>
        <w:t>客户接纳政策</w:t>
      </w:r>
      <w:r>
        <w:t>列为KYC计划的关键要素，并倡导银行实施风险分析和治理安排</w:t>
      </w:r>
      <w:r>
        <w:rPr>
          <w:sz w:val="15"/>
          <w:vertAlign w:val="superscript"/>
        </w:rPr>
        <w:t>P166</w:t>
      </w:r>
      <w:r>
        <w:t>。对于高风险客户，准入控制包括</w:t>
      </w:r>
      <w:r>
        <w:rPr>
          <w:b/>
        </w:rPr>
        <w:t>由高级管理层批准</w:t>
      </w:r>
      <w:r>
        <w:t>，例如在账户激活前取得合规委员会或董事会批准</w:t>
      </w:r>
      <w:r>
        <w:rPr>
          <w:sz w:val="15"/>
          <w:vertAlign w:val="superscript"/>
        </w:rPr>
        <w:t>P312</w:t>
      </w:r>
      <w:r>
        <w:t>。因此，决定是否与高风险客户建立业务关系属于高级管理层的审批职责，C最符合题意。</w:t>
      </w:r>
    </w:p>
    <w:p>
      <w:pPr>
        <w:spacing w:before="120" w:after="40"/>
      </w:pPr>
      <w:r>
        <w:rPr>
          <w:b/>
          <w:sz w:val="21"/>
          <w:shd w:fill="D6E4F0" w:val="clear"/>
        </w:rPr>
        <w:t>教材原句：</w:t>
      </w:r>
    </w:p>
    <w:p>
      <w:pPr>
        <w:spacing w:line="360" w:lineRule="auto" w:after="40"/>
        <w:ind w:firstLine="420"/>
      </w:pPr>
      <w:r>
        <w:t>"Senior management approval, such as mandating compliance committee or board approval before account activation."</w:t>
      </w:r>
    </w:p>
    <w:p>
      <w:pPr>
        <w:spacing w:before="120" w:after="40"/>
      </w:pPr>
      <w:r>
        <w:rPr>
          <w:b/>
          <w:sz w:val="21"/>
          <w:shd w:fill="D6E4F0" w:val="clear"/>
        </w:rPr>
        <w:t>A项错误：</w:t>
      </w:r>
    </w:p>
    <w:p>
      <w:pPr>
        <w:spacing w:line="360" w:lineRule="auto" w:after="40"/>
        <w:ind w:firstLine="420"/>
      </w:pPr>
      <w:r>
        <w:t>第一道防线的客户接触人员负责实施金融犯罪防控政策与程序并执行CDD</w:t>
      </w:r>
      <w:r>
        <w:rPr>
          <w:sz w:val="15"/>
          <w:vertAlign w:val="superscript"/>
        </w:rPr>
        <w:t>P246</w:t>
      </w:r>
      <w:r>
        <w:t>，属于客户准入流程的执行端。题干询问的是高风险客户的批准层级，直接指向高级管理层</w:t>
      </w:r>
      <w:r>
        <w:rPr>
          <w:sz w:val="15"/>
          <w:vertAlign w:val="superscript"/>
        </w:rPr>
        <w:t>P312</w:t>
      </w:r>
      <w:r>
        <w:t>，因此C项匹配度更高。</w:t>
      </w:r>
    </w:p>
    <w:p>
      <w:pPr>
        <w:spacing w:before="120" w:after="40"/>
      </w:pPr>
      <w:r>
        <w:rPr>
          <w:b/>
          <w:sz w:val="21"/>
          <w:shd w:fill="D6E4F0" w:val="clear"/>
        </w:rPr>
        <w:t>B项错误：</w:t>
      </w:r>
    </w:p>
    <w:p>
      <w:pPr>
        <w:spacing w:line="360" w:lineRule="auto" w:after="40"/>
        <w:ind w:firstLine="420"/>
      </w:pPr>
      <w:r>
        <w:t>middle management指中层管理层，不能等同于“中台”。题干问的是高风险客户准入的批准层级，教材和BCBS官方文件均使用“高级管理层”，因此B不如C匹配。</w:t>
      </w:r>
    </w:p>
    <w:p>
      <w:pPr>
        <w:spacing w:before="120" w:after="40"/>
      </w:pPr>
      <w:r>
        <w:rPr>
          <w:b/>
          <w:sz w:val="21"/>
          <w:shd w:fill="D6E4F0" w:val="clear"/>
        </w:rPr>
        <w:t>D项错误：</w:t>
      </w:r>
    </w:p>
    <w:p>
      <w:pPr>
        <w:spacing w:line="360" w:lineRule="auto" w:after="40"/>
        <w:ind w:firstLine="420"/>
      </w:pPr>
      <w:r>
        <w:t>高风险客户准入应由“高级管理层”批准</w:t>
      </w:r>
      <w:r>
        <w:rPr>
          <w:sz w:val="15"/>
          <w:vertAlign w:val="superscript"/>
        </w:rPr>
        <w:t>P312</w:t>
      </w:r>
      <w:r>
        <w:t>，而“基层管理层”（first-level management）并非同一审批层级，因此D项的审批主体不正确。</w:t>
      </w:r>
    </w:p>
    <w:p>
      <w:pPr>
        <w:spacing w:before="120" w:after="40"/>
      </w:pPr>
      <w:r>
        <w:rPr>
          <w:b/>
          <w:sz w:val="21"/>
          <w:shd w:fill="D6E4F0" w:val="clear"/>
        </w:rPr>
        <w:t>易错提醒：</w:t>
      </w:r>
    </w:p>
    <w:p>
      <w:pPr>
        <w:spacing w:line="360" w:lineRule="auto" w:after="40"/>
        <w:ind w:firstLine="420"/>
      </w:pPr>
      <w:r>
        <w:t>客户接触人员负责执行CDD和准入流程</w:t>
      </w:r>
      <w:r>
        <w:rPr>
          <w:sz w:val="15"/>
          <w:vertAlign w:val="superscript"/>
        </w:rPr>
        <w:t>P246</w:t>
      </w:r>
      <w:r>
        <w:t>，但高风险客户的最终准入决定应升级至高级管理层</w:t>
      </w:r>
      <w:r>
        <w:rPr>
          <w:sz w:val="15"/>
          <w:vertAlign w:val="superscript"/>
        </w:rPr>
        <w:t>P312</w:t>
      </w:r>
      <w:r>
        <w:t>。这里的“高级管理层”不能替换为中层管理层或基层管理层，也不等同于具体办理开户的人员。</w:t>
      </w:r>
    </w:p>
    <w:p>
      <w:pPr>
        <w:spacing w:line="360" w:lineRule="auto" w:after="120"/>
      </w:pPr>
      <w:r/>
    </w:p>
    <w:p>
      <w:pPr>
        <w:spacing w:line="360" w:lineRule="auto" w:after="40"/>
      </w:pPr>
      <w:r>
        <w:t>6. 一家金融机构正在设计一项企业范围的风险评估（EWRA）。根据沃尔夫斯堡集团发布的关于基于风险的方法来识别和管理洗钱风险的指导，一种有效的方法应当：</w:t>
      </w:r>
      <w:r>
        <w:br/>
      </w:r>
      <w:r>
        <w:t>A financial institution is designing an enterprise-wide risk assessment (EWRA). According to the guidance issued by the Wolfsberg Group regarding a risk-based approach to identifying and managing money laundering risks, an effective approach should:</w:t>
      </w:r>
    </w:p>
    <w:p>
      <w:pPr>
        <w:spacing w:line="360" w:lineRule="auto" w:after="20"/>
      </w:pPr>
      <w:r>
        <w:t>A.在评估期内，重点关注新客户带来的风险，并了解用于降低相关洗钱风险的控制措施。</w:t>
      </w:r>
      <w:r>
        <w:br/>
      </w:r>
      <w:r>
        <w:t>Focus on understanding the risks presented by new clients within the assessment period, and the controls to mitigate associated money laundering risks.</w:t>
      </w:r>
    </w:p>
    <w:p>
      <w:pPr>
        <w:spacing w:line="360" w:lineRule="auto" w:after="20"/>
      </w:pPr>
      <w:r>
        <w:t>B.应采取适当措施和控制手段，以降低来自高风险客户、产品和地区的洗钱风险。</w:t>
      </w:r>
      <w:r>
        <w:br/>
      </w:r>
      <w:r>
        <w:t>Include appropriate measures and controls to mitigate money laundering risks stemming from higher-risk customers, products, and geographies.</w:t>
      </w:r>
    </w:p>
    <w:p>
      <w:pPr>
        <w:spacing w:line="360" w:lineRule="auto" w:after="20"/>
      </w:pPr>
      <w:r>
        <w:t>C.关注金融机构产品和服务提供的固有风险以及为降低潜在洗钱风险所采取的控制措施。</w:t>
      </w:r>
      <w:r>
        <w:br/>
      </w:r>
      <w:r>
        <w:t>Focus on the inherent risk in the FI's product and service offerings and the controls to mitigate potential money laundering risks.</w:t>
      </w:r>
    </w:p>
    <w:p>
      <w:pPr>
        <w:spacing w:line="360" w:lineRule="auto" w:after="20"/>
      </w:pPr>
      <w:r>
        <w:t>D.使用由第三方供应商提供的框架，该框架在该司法管辖区内的其他金融机构中也有使用。</w:t>
      </w:r>
      <w:r>
        <w:br/>
      </w:r>
      <w:r>
        <w:t>Use a framework provided by a third-party vendor and used by other FIs in the jurisdiction.</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风险为本的EWRA应覆盖主要风险维度并采取相应控制</w:t>
      </w:r>
    </w:p>
    <w:p>
      <w:pPr>
        <w:spacing w:before="120" w:after="40"/>
      </w:pPr>
      <w:r>
        <w:rPr>
          <w:b/>
          <w:sz w:val="21"/>
          <w:shd w:fill="D6E4F0" w:val="clear"/>
        </w:rPr>
        <w:t>核心解析：</w:t>
      </w:r>
    </w:p>
    <w:p>
      <w:pPr>
        <w:spacing w:line="360" w:lineRule="auto" w:after="40"/>
        <w:ind w:firstLine="420"/>
      </w:pPr>
      <w:r>
        <w:t>教材说明，沃尔夫斯堡集团的风险为本指导强调金融机构应按</w:t>
      </w:r>
      <w:r>
        <w:rPr>
          <w:b/>
        </w:rPr>
        <w:t>客户、交易或司法管辖区所呈现的风险水平分配资源</w:t>
      </w:r>
      <w:r>
        <w:rPr>
          <w:sz w:val="15"/>
          <w:vertAlign w:val="superscript"/>
        </w:rPr>
        <w:t>P169</w:t>
      </w:r>
      <w:r>
        <w:t>。在EWRA层面，评估还应结合组织自身情况，考虑</w:t>
      </w:r>
      <w:r>
        <w:rPr>
          <w:b/>
        </w:rPr>
        <w:t>客户特征、司法管辖区、产品和交付渠道</w:t>
      </w:r>
      <w:r>
        <w:rPr>
          <w:sz w:val="15"/>
          <w:vertAlign w:val="superscript"/>
        </w:rPr>
        <w:t>P268</w:t>
      </w:r>
      <w:r>
        <w:t>；风险为本方法则要求</w:t>
      </w:r>
      <w:r>
        <w:rPr>
          <w:b/>
        </w:rPr>
        <w:t>识别、评估和理解风险，并采取适当措施有效缓解风险</w:t>
      </w:r>
      <w:r>
        <w:rPr>
          <w:sz w:val="15"/>
          <w:vertAlign w:val="superscript"/>
        </w:rPr>
        <w:t>P270</w:t>
      </w:r>
      <w:r>
        <w:t>。B项把这些要素组合为“高风险客户、产品和地区”及相应措施和控制，既覆盖主要风险维度，也包含风险缓解，因而比只限新客户的A项和只限产品、服务的C项更完整。</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r>
        <w:rPr>
          <w:sz w:val="15"/>
          <w:vertAlign w:val="superscript"/>
        </w:rPr>
        <w:t>P270</w:t>
      </w:r>
    </w:p>
    <w:p>
      <w:pPr>
        <w:spacing w:before="120" w:after="40"/>
      </w:pPr>
      <w:r>
        <w:rPr>
          <w:b/>
          <w:sz w:val="21"/>
          <w:shd w:fill="D6E4F0" w:val="clear"/>
        </w:rPr>
        <w:t>A项错误：</w:t>
      </w:r>
    </w:p>
    <w:p>
      <w:pPr>
        <w:spacing w:line="360" w:lineRule="auto" w:after="40"/>
        <w:ind w:firstLine="420"/>
      </w:pPr>
      <w:r>
        <w:t>教材规定EWRA应审查所有客户类型，不限于“新客户”（即要求审查所有客户类型、司法管辖区、产品等）</w:t>
      </w:r>
      <w:r>
        <w:rPr>
          <w:sz w:val="15"/>
          <w:vertAlign w:val="superscript"/>
        </w:rPr>
        <w:t>P274</w:t>
      </w:r>
      <w:r>
        <w:t>。选项A将关注范围限定在“新客户”，与教材对EWRA全面性要求相比，覆盖范围不够。</w:t>
      </w:r>
    </w:p>
    <w:p>
      <w:pPr>
        <w:spacing w:before="120" w:after="40"/>
      </w:pPr>
      <w:r>
        <w:rPr>
          <w:b/>
          <w:sz w:val="21"/>
          <w:shd w:fill="D6E4F0" w:val="clear"/>
        </w:rPr>
        <w:t>C项错误：</w:t>
      </w:r>
    </w:p>
    <w:p>
      <w:pPr>
        <w:spacing w:line="360" w:lineRule="auto" w:after="40"/>
        <w:ind w:firstLine="420"/>
      </w:pPr>
      <w:r>
        <w:t>C项提到产品、服务的固有风险和控制措施，内容本身属于EWRA的一部分，但遗漏客户和司法管辖区等风险维度。教材要求EWRA考虑客户特征、司法管辖区、产品和交付渠道</w:t>
      </w:r>
      <w:r>
        <w:rPr>
          <w:sz w:val="15"/>
          <w:vertAlign w:val="superscript"/>
        </w:rPr>
        <w:t>P268</w:t>
      </w:r>
      <w:r>
        <w:t>，故B项对题干“有效方法”的覆盖更完整。</w:t>
      </w:r>
    </w:p>
    <w:p>
      <w:pPr>
        <w:spacing w:before="120" w:after="40"/>
      </w:pPr>
      <w:r>
        <w:rPr>
          <w:b/>
          <w:sz w:val="21"/>
          <w:shd w:fill="D6E4F0" w:val="clear"/>
        </w:rPr>
        <w:t>D项错误：</w:t>
      </w:r>
    </w:p>
    <w:p>
      <w:pPr>
        <w:spacing w:line="360" w:lineRule="auto" w:after="40"/>
        <w:ind w:firstLine="420"/>
      </w:pPr>
      <w:r>
        <w:t>EWRA应根据组织自身的客户、司法管辖区、产品和渠道等情况定制</w:t>
      </w:r>
      <w:r>
        <w:rPr>
          <w:sz w:val="15"/>
          <w:vertAlign w:val="superscript"/>
        </w:rPr>
        <w:t>P268</w:t>
      </w:r>
      <w:r>
        <w:t>。第三方框架可以作为工具，但其他机构采用同一框架并不能保证它适合本机构的风险状况，因此D不如B匹配。</w:t>
      </w:r>
    </w:p>
    <w:p>
      <w:pPr>
        <w:spacing w:before="120" w:after="40"/>
      </w:pPr>
      <w:r>
        <w:rPr>
          <w:b/>
          <w:sz w:val="21"/>
          <w:shd w:fill="D6E4F0" w:val="clear"/>
        </w:rPr>
        <w:t>易错提醒：</w:t>
      </w:r>
    </w:p>
    <w:p>
      <w:pPr>
        <w:spacing w:line="360" w:lineRule="auto" w:after="40"/>
        <w:ind w:firstLine="420"/>
      </w:pPr>
      <w:r>
        <w:t>判断EWRA选项是否全面，不能只看它是否提到“固有风险”或“控制”，还要核对</w:t>
      </w:r>
      <w:r>
        <w:rPr>
          <w:b/>
        </w:rPr>
        <w:t>风险维度是否覆盖客户、司法管辖区、产品和渠道</w:t>
      </w:r>
      <w:r>
        <w:rPr>
          <w:sz w:val="15"/>
          <w:vertAlign w:val="superscript"/>
        </w:rPr>
        <w:t>P268</w:t>
      </w:r>
      <w:r>
        <w:t>，以及是否包含</w:t>
      </w:r>
      <w:r>
        <w:rPr>
          <w:b/>
        </w:rPr>
        <w:t>有效缓解措施</w:t>
      </w:r>
      <w:r>
        <w:rPr>
          <w:sz w:val="15"/>
          <w:vertAlign w:val="superscript"/>
        </w:rPr>
        <w:t>P270</w:t>
      </w:r>
      <w:r>
        <w:t>。</w:t>
      </w:r>
    </w:p>
    <w:p>
      <w:pPr>
        <w:spacing w:line="360" w:lineRule="auto" w:after="120"/>
      </w:pPr>
      <w:r/>
    </w:p>
    <w:p>
      <w:pPr>
        <w:spacing w:line="360" w:lineRule="auto" w:after="40"/>
      </w:pPr>
      <w:r>
        <w:t>7. 哪个由金融情报机构（FIU）组成的联合组织成立目的是改善成员FIU之间的信息交流和共享机制，并通过增强其成员的能力来支持它们？</w:t>
      </w:r>
      <w:r>
        <w:br/>
      </w:r>
      <w:r>
        <w:t>Which collective body of Financial Intelligence Units (FIUs) was formed with the objective of improving information exchange and sharing mechanisms among member FIUs, as well as supporting its members by enhancing their capabilities?</w:t>
      </w:r>
    </w:p>
    <w:p>
      <w:pPr>
        <w:spacing w:line="360" w:lineRule="auto" w:after="20"/>
      </w:pPr>
      <w:r>
        <w:t>A.经济合作与发展组织(经合组织)</w:t>
      </w:r>
      <w:r>
        <w:br/>
      </w:r>
      <w:r>
        <w:t>The Organisation for Economic Co-operation and Development (OECD)</w:t>
      </w:r>
    </w:p>
    <w:p>
      <w:pPr>
        <w:spacing w:line="360" w:lineRule="auto" w:after="20"/>
      </w:pPr>
      <w:r>
        <w:t>B.埃格蒙特集团</w:t>
      </w:r>
      <w:r>
        <w:br/>
      </w:r>
      <w:r>
        <w:t>The Egmont Group</w:t>
      </w:r>
    </w:p>
    <w:p>
      <w:pPr>
        <w:spacing w:line="360" w:lineRule="auto" w:after="20"/>
      </w:pPr>
      <w:r>
        <w:t>C.沃尔夫斯堡集团</w:t>
      </w:r>
      <w:r>
        <w:br/>
      </w:r>
      <w:r>
        <w:t>The Wolfsberg Group</w:t>
      </w:r>
    </w:p>
    <w:p>
      <w:pPr>
        <w:spacing w:line="360" w:lineRule="auto" w:after="20"/>
      </w:pPr>
      <w:r>
        <w:t>D.国际货币基金组织(IMF)</w:t>
      </w:r>
      <w:r>
        <w:br/>
      </w:r>
      <w:r>
        <w:t>The International Monetary Fund (IMF)</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埃格蒙特集团的组织性质与核心职能</w:t>
      </w:r>
    </w:p>
    <w:p>
      <w:pPr>
        <w:spacing w:before="120" w:after="40"/>
      </w:pPr>
      <w:r>
        <w:rPr>
          <w:b/>
          <w:sz w:val="21"/>
          <w:shd w:fill="D6E4F0" w:val="clear"/>
        </w:rPr>
        <w:t>核心解析：</w:t>
      </w:r>
    </w:p>
    <w:p>
      <w:pPr>
        <w:spacing w:line="360" w:lineRule="auto" w:after="40"/>
        <w:ind w:firstLine="420"/>
      </w:pPr>
      <w:r>
        <w:t>教材将埃格蒙特集团定义为由</w:t>
      </w:r>
      <w:r>
        <w:rPr>
          <w:b/>
        </w:rPr>
        <w:t>各国金融情报机构（FIU）组成的国际网络</w:t>
      </w:r>
      <w:r>
        <w:t>，其作用包括促进成员之间的合作与情报共享</w:t>
      </w:r>
      <w:r>
        <w:rPr>
          <w:sz w:val="15"/>
          <w:vertAlign w:val="superscript"/>
        </w:rPr>
        <w:t>P167</w:t>
      </w:r>
      <w:r>
        <w:t>。在具体职能方面，教材指出，</w:t>
      </w:r>
      <w:r>
        <w:rPr>
          <w:b/>
        </w:rPr>
        <w:t>信息共享</w:t>
      </w:r>
      <w:r>
        <w:t>使FIU能够共享可疑金融活动情报，</w:t>
      </w:r>
      <w:r>
        <w:rPr>
          <w:b/>
        </w:rPr>
        <w:t>能力建设</w:t>
      </w:r>
      <w:r>
        <w:t>则通过培训和技术援助增强FIU的能力</w:t>
      </w:r>
      <w:r>
        <w:rPr>
          <w:sz w:val="15"/>
          <w:vertAlign w:val="superscript"/>
        </w:rPr>
        <w:t>P167</w:t>
      </w:r>
      <w:r>
        <w:t>。题干中的“FIU集体组织”“改善信息交流和共享机制”以及“增强成员能力”，分别与埃格蒙特集团的组织构成、信息共享职能和能力建设职能直接对应，因此答案为B。</w:t>
      </w:r>
    </w:p>
    <w:p>
      <w:pPr>
        <w:spacing w:before="120" w:after="40"/>
      </w:pPr>
      <w:r>
        <w:rPr>
          <w:b/>
          <w:sz w:val="21"/>
          <w:shd w:fill="D6E4F0" w:val="clear"/>
        </w:rPr>
        <w:t>教材原句：</w:t>
      </w:r>
    </w:p>
    <w:p>
      <w:pPr>
        <w:spacing w:line="360" w:lineRule="auto" w:after="40"/>
        <w:ind w:firstLine="420"/>
      </w:pPr>
      <w:r>
        <w:t>"Capacity building, which provides training and technical assistance to enhance FIU capabilities."</w:t>
      </w:r>
      <w:r>
        <w:rPr>
          <w:sz w:val="15"/>
          <w:vertAlign w:val="superscript"/>
        </w:rPr>
        <w:t>P167</w:t>
      </w:r>
    </w:p>
    <w:p>
      <w:pPr>
        <w:spacing w:before="120" w:after="40"/>
      </w:pPr>
      <w:r>
        <w:rPr>
          <w:b/>
          <w:sz w:val="21"/>
          <w:shd w:fill="D6E4F0" w:val="clear"/>
        </w:rPr>
        <w:t>A项错误：</w:t>
      </w:r>
    </w:p>
    <w:p>
      <w:pPr>
        <w:spacing w:line="360" w:lineRule="auto" w:after="40"/>
        <w:ind w:firstLine="420"/>
      </w:pPr>
      <w:r>
        <w:t>OECD是1961年成立的政府间组织，其核心角色是与政策制定者合作制定基于证据的国际标准</w:t>
      </w:r>
      <w:r>
        <w:rPr>
          <w:sz w:val="15"/>
          <w:vertAlign w:val="superscript"/>
        </w:rPr>
        <w:t>P164</w:t>
      </w:r>
      <w:r>
        <w:t>，成员是各国政府，而非各国FIU。题干更直接匹配埃格蒙特集团作为FIU网络的定义。</w:t>
      </w:r>
    </w:p>
    <w:p>
      <w:pPr>
        <w:spacing w:before="120" w:after="40"/>
      </w:pPr>
      <w:r>
        <w:rPr>
          <w:b/>
          <w:sz w:val="21"/>
          <w:shd w:fill="D6E4F0" w:val="clear"/>
        </w:rPr>
        <w:t>C项错误：</w:t>
      </w:r>
    </w:p>
    <w:p>
      <w:pPr>
        <w:spacing w:line="360" w:lineRule="auto" w:after="40"/>
        <w:ind w:firstLine="420"/>
      </w:pPr>
      <w:r>
        <w:t>沃尔夫斯堡集团是由全球银行组成的协会，成员是银行而非FIU，聚焦于制定金融犯罪风险管理政策与指引</w:t>
      </w:r>
      <w:r>
        <w:rPr>
          <w:sz w:val="15"/>
          <w:vertAlign w:val="superscript"/>
        </w:rPr>
        <w:t>P168</w:t>
      </w:r>
      <w:r>
        <w:t>。题干要求的主体是FIU的集体组织，而非银行协会。</w:t>
      </w:r>
    </w:p>
    <w:p>
      <w:pPr>
        <w:spacing w:before="120" w:after="40"/>
      </w:pPr>
      <w:r>
        <w:rPr>
          <w:b/>
          <w:sz w:val="21"/>
          <w:shd w:fill="D6E4F0" w:val="clear"/>
        </w:rPr>
        <w:t>D项错误：</w:t>
      </w:r>
    </w:p>
    <w:p>
      <w:pPr>
        <w:spacing w:line="360" w:lineRule="auto" w:after="40"/>
        <w:ind w:firstLine="420"/>
      </w:pPr>
      <w:r>
        <w:t>IMF的核心职能是监测全球经济并维护货币体系稳定</w:t>
      </w:r>
      <w:r>
        <w:rPr>
          <w:sz w:val="15"/>
          <w:vertAlign w:val="superscript"/>
        </w:rPr>
        <w:t>P163</w:t>
      </w:r>
      <w:r>
        <w:t>，其成员是主权国家而非FIU。题干针对的是FIU之间的信息交换和能力建设，这与IMF的宏观金融稳定职能不同。</w:t>
      </w:r>
    </w:p>
    <w:p>
      <w:pPr>
        <w:spacing w:before="120" w:after="40"/>
      </w:pPr>
      <w:r>
        <w:rPr>
          <w:b/>
          <w:sz w:val="21"/>
          <w:shd w:fill="D6E4F0" w:val="clear"/>
        </w:rPr>
        <w:t>易错提醒：</w:t>
      </w:r>
    </w:p>
    <w:p>
      <w:pPr>
        <w:spacing w:line="360" w:lineRule="auto" w:after="40"/>
        <w:ind w:firstLine="420"/>
      </w:pPr>
      <w:r>
        <w:t>四个选项中有两个名称带“Group”，容易混淆其成员主体。核心区分：埃格蒙特集团是FIU的国际网络</w:t>
      </w:r>
      <w:r>
        <w:rPr>
          <w:sz w:val="15"/>
          <w:vertAlign w:val="superscript"/>
        </w:rPr>
        <w:t>P167</w:t>
      </w:r>
      <w:r>
        <w:t>，沃尔夫斯堡集团是全球银行组成的协会</w:t>
      </w:r>
      <w:r>
        <w:rPr>
          <w:sz w:val="15"/>
          <w:vertAlign w:val="superscript"/>
        </w:rPr>
        <w:t>P168</w:t>
      </w:r>
      <w:r>
        <w:t>；OECD和IMF则不是FIU网络。题干同时强调FIU之间的信息共享和能力建设，只有埃格蒙特集团与这些特征完整匹配。</w:t>
      </w:r>
    </w:p>
    <w:p>
      <w:pPr>
        <w:spacing w:line="360" w:lineRule="auto" w:after="120"/>
      </w:pPr>
      <w:r/>
    </w:p>
    <w:p>
      <w:pPr>
        <w:spacing w:line="360" w:lineRule="auto" w:after="40"/>
      </w:pPr>
      <w:r>
        <w:t>8. 巴塞尔银行监管委员会(BCBS)是一个由各国中央银行和银行业监管机构的高级代表组成的国际机构.以下哪项陈述准确描述了巴塞尔委员会提供的指导？（选择三项。）</w:t>
      </w:r>
      <w:r>
        <w:br/>
      </w:r>
      <w:r>
        <w:t>The Basel Committee on Banking Supervision (BCBS) is an international body consisting of senior representatives of central banks and banking regulatory authorities. Which of the following statements accurately describe guidance provided by the BCBS? (Select three.)</w:t>
      </w:r>
    </w:p>
    <w:p>
      <w:pPr>
        <w:spacing w:line="360" w:lineRule="auto" w:after="20"/>
      </w:pPr>
      <w:r>
        <w:t>A.由于巴塞尔委员会没有执法权,它依靠其成员的承诺来执行其指导方针.</w:t>
      </w:r>
      <w:r>
        <w:br/>
      </w:r>
      <w:r>
        <w:t>Since the Basel Committee has no enforcement authority, it relies on the commitment of its members to carry out its guidance.</w:t>
      </w:r>
    </w:p>
    <w:p>
      <w:pPr>
        <w:spacing w:line="360" w:lineRule="auto" w:after="20"/>
      </w:pPr>
      <w:r>
        <w:t>B.巴塞尔指导方针包括应纳入当地法律框架的标准、实施指南以及最佳实践指导.</w:t>
      </w:r>
      <w:r>
        <w:br/>
      </w:r>
      <w:r>
        <w:t>Basel guidance includes standards to be incorporated into local legal frameworks, guidelines for implementation, and best-practice guidance.</w:t>
      </w:r>
    </w:p>
    <w:p>
      <w:pPr>
        <w:spacing w:line="360" w:lineRule="auto" w:after="20"/>
      </w:pPr>
      <w:r>
        <w:t>C.巴塞尔委员会的核心原则包括有关客户身份识别和客户接纳政策的指导方针</w:t>
      </w:r>
      <w:r>
        <w:br/>
      </w:r>
      <w:r>
        <w:t>The Basel Committee's Core Principles include guidance on customer identification and acceptance.</w:t>
      </w:r>
    </w:p>
    <w:p>
      <w:pPr>
        <w:spacing w:line="360" w:lineRule="auto" w:after="20"/>
      </w:pPr>
      <w:r>
        <w:t>D.巴塞尔银行监管委员会的成员必须执行其标准,否则将面临被暂停成员资格的处罚.</w:t>
      </w:r>
      <w:r>
        <w:br/>
      </w:r>
      <w:r>
        <w:t>Members of the Basel Committee on Banking Supervision must implement its standards or face suspension of membership.</w:t>
      </w:r>
    </w:p>
    <w:p>
      <w:pPr>
        <w:spacing w:line="360" w:lineRule="auto" w:after="20"/>
      </w:pPr>
      <w:r>
        <w:t>E.巴塞尔委员会由全球28家最大的银行组成</w:t>
      </w:r>
      <w:r>
        <w:br/>
      </w:r>
      <w:r>
        <w:t>The Basel Committee consists of the 28 largest banks in the world.</w:t>
      </w:r>
    </w:p>
    <w:p>
      <w:pPr>
        <w:spacing w:line="360" w:lineRule="auto" w:after="40"/>
      </w:pPr>
      <w:r>
        <w:t>答案:A、B、C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区分BCBS的执法机制、文件类型、成员构成与核心原则内容</w:t>
      </w:r>
    </w:p>
    <w:p>
      <w:pPr>
        <w:spacing w:before="120" w:after="40"/>
      </w:pPr>
      <w:r>
        <w:rPr>
          <w:b/>
          <w:sz w:val="21"/>
          <w:shd w:fill="D6E4F0" w:val="clear"/>
        </w:rPr>
        <w:t>核心解析：</w:t>
      </w:r>
    </w:p>
    <w:p>
      <w:pPr>
        <w:spacing w:line="360" w:lineRule="auto" w:after="40"/>
        <w:ind w:firstLine="420"/>
      </w:pPr>
      <w:r>
        <w:rPr>
          <w:b/>
        </w:rPr>
        <w:t>BCBS没有执法权，而是依靠成员履行承诺来实现其使命</w:t>
      </w:r>
      <w:r>
        <w:t>，因此A直接对应教材</w:t>
      </w:r>
      <w:r>
        <w:rPr>
          <w:sz w:val="15"/>
          <w:vertAlign w:val="superscript"/>
        </w:rPr>
        <w:t>P165</w:t>
      </w:r>
      <w:r>
        <w:t>。教材分别说明，BCBS提供供纳入当地法律框架的标准、帮助实施标准的指南，以及描述实际观察做法的良好实践，三条直接事实共同对应B（P165-P166）。对于C，教材先说明BCBS发布反洗钱原则声明，并指出其KYC文件的关键要素包括客户身份识别和客户接纳政策；因此，C项所述内容属于BCBS反洗钱/KYC指导范围</w:t>
      </w:r>
      <w:r>
        <w:rPr>
          <w:sz w:val="15"/>
          <w:vertAlign w:val="superscript"/>
        </w:rPr>
        <w:t>P166</w:t>
      </w:r>
      <w:r>
        <w:t>。这里的判断依据是“原则声明—KYC规则—具体关键要素”的上下文链条，而不是把两个孤立短语直接等同于完整的核心原则定义。综上，A、B、C均成立。</w:t>
      </w:r>
    </w:p>
    <w:p>
      <w:pPr>
        <w:spacing w:before="120" w:after="40"/>
      </w:pPr>
      <w:r>
        <w:rPr>
          <w:b/>
          <w:sz w:val="21"/>
          <w:shd w:fill="D6E4F0" w:val="clear"/>
        </w:rPr>
        <w:t>教材原句：</w:t>
      </w:r>
    </w:p>
    <w:p>
      <w:pPr>
        <w:spacing w:line="360" w:lineRule="auto" w:after="40"/>
        <w:ind w:firstLine="420"/>
      </w:pPr>
      <w:r>
        <w:t>"It does not have enforcement authority, but relies on its members’ commitment to achieve its mandate."</w:t>
      </w:r>
      <w:r>
        <w:rPr>
          <w:sz w:val="15"/>
          <w:vertAlign w:val="superscript"/>
        </w:rPr>
        <w:t>P165</w:t>
      </w:r>
    </w:p>
    <w:p>
      <w:pPr>
        <w:spacing w:before="120" w:after="40"/>
      </w:pPr>
      <w:r>
        <w:rPr>
          <w:b/>
          <w:sz w:val="21"/>
          <w:shd w:fill="D6E4F0" w:val="clear"/>
        </w:rPr>
        <w:t>D项错误：</w:t>
      </w:r>
    </w:p>
    <w:p>
      <w:pPr>
        <w:spacing w:line="360" w:lineRule="auto" w:after="40"/>
        <w:ind w:firstLine="420"/>
      </w:pPr>
      <w:r>
        <w:t>BCBS没有执法权，其指导落实依赖成员承诺</w:t>
      </w:r>
      <w:r>
        <w:rPr>
          <w:sz w:val="15"/>
          <w:vertAlign w:val="superscript"/>
        </w:rPr>
        <w:t>P165</w:t>
      </w:r>
      <w:r>
        <w:t>。D所述“不执行即暂停成员资格”是一种强制处罚机制，与BCBS的制度定位不一致。</w:t>
      </w:r>
    </w:p>
    <w:p>
      <w:pPr>
        <w:spacing w:before="120" w:after="40"/>
      </w:pPr>
      <w:r>
        <w:rPr>
          <w:b/>
          <w:sz w:val="21"/>
          <w:shd w:fill="D6E4F0" w:val="clear"/>
        </w:rPr>
        <w:t>E项错误：</w:t>
      </w:r>
    </w:p>
    <w:p>
      <w:pPr>
        <w:spacing w:line="360" w:lineRule="auto" w:after="40"/>
        <w:ind w:firstLine="420"/>
      </w:pPr>
      <w:r>
        <w:t>教材指出BCBS成员包括来自28个成员国的银行监管机构和中央银行，而非28家银行</w:t>
      </w:r>
      <w:r>
        <w:rPr>
          <w:sz w:val="15"/>
          <w:vertAlign w:val="superscript"/>
        </w:rPr>
        <w:t>P165</w:t>
      </w:r>
      <w:r>
        <w:t>。选项将监管主体错置为被监管的商业银行，不如教材原文准确。</w:t>
      </w:r>
    </w:p>
    <w:p>
      <w:pPr>
        <w:spacing w:before="120" w:after="40"/>
      </w:pPr>
      <w:r>
        <w:rPr>
          <w:b/>
          <w:sz w:val="21"/>
          <w:shd w:fill="D6E4F0" w:val="clear"/>
        </w:rPr>
        <w:t>易错提醒：</w:t>
      </w:r>
    </w:p>
    <w:p>
      <w:pPr>
        <w:spacing w:line="360" w:lineRule="auto" w:after="40"/>
        <w:ind w:firstLine="420"/>
      </w:pPr>
      <w:r>
        <w:t>BCBS的成员是银行监管机构和中央银行，题干提到的“28”对应的是28个成员国，而非28家最大的银行</w:t>
      </w:r>
      <w:r>
        <w:rPr>
          <w:sz w:val="15"/>
          <w:vertAlign w:val="superscript"/>
        </w:rPr>
        <w:t>P165</w:t>
      </w:r>
      <w:r>
        <w:t>。容易因数字相同而混淆。</w:t>
      </w:r>
    </w:p>
    <w:p>
      <w:pPr>
        <w:spacing w:line="360" w:lineRule="auto" w:after="120"/>
      </w:pPr>
      <w:r/>
    </w:p>
    <w:p>
      <w:pPr>
        <w:spacing w:line="360" w:lineRule="auto" w:after="40"/>
      </w:pPr>
      <w:r>
        <w:t>9. 哪些非政府机构通常发布与反洗钱/打击资助恐怖主义相关的信息和指导？（选择两项。）</w:t>
      </w:r>
      <w:r>
        <w:br/>
      </w:r>
      <w:r>
        <w:t>Which non-governmental bodies typically issue information and guidance related to AML/CFT issues? (Choose two.)</w:t>
      </w:r>
    </w:p>
    <w:p>
      <w:pPr>
        <w:spacing w:line="360" w:lineRule="auto" w:after="20"/>
      </w:pPr>
      <w:r>
        <w:t>A.沃尔夫斯堡集团</w:t>
      </w:r>
      <w:r>
        <w:br/>
      </w:r>
      <w:r>
        <w:t>Wolfsberg Group</w:t>
      </w:r>
    </w:p>
    <w:p>
      <w:pPr>
        <w:spacing w:line="360" w:lineRule="auto" w:after="20"/>
      </w:pPr>
      <w:r>
        <w:t>B.透明国际</w:t>
      </w:r>
      <w:r>
        <w:br/>
      </w:r>
      <w:r>
        <w:t>Transparency International</w:t>
      </w:r>
    </w:p>
    <w:p>
      <w:pPr>
        <w:spacing w:line="360" w:lineRule="auto" w:after="20"/>
      </w:pPr>
      <w:r>
        <w:t>C.金融行动特别工作组（FATF）</w:t>
      </w:r>
      <w:r>
        <w:br/>
      </w:r>
      <w:r>
        <w:t>Financial Action Task Force (FATF)</w:t>
      </w:r>
    </w:p>
    <w:p>
      <w:pPr>
        <w:spacing w:line="360" w:lineRule="auto" w:after="20"/>
      </w:pPr>
      <w:r>
        <w:t>D.税收正义网络</w:t>
      </w:r>
      <w:r>
        <w:br/>
      </w:r>
      <w:r>
        <w:t>Tax Justice Network</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区分国际反洗钱组织的政府间与非政府性质</w:t>
      </w:r>
    </w:p>
    <w:p>
      <w:pPr>
        <w:spacing w:before="120" w:after="40"/>
      </w:pPr>
      <w:r>
        <w:rPr>
          <w:b/>
          <w:sz w:val="21"/>
          <w:shd w:fill="D6E4F0" w:val="clear"/>
        </w:rPr>
        <w:t>核心解析：</w:t>
      </w:r>
    </w:p>
    <w:p>
      <w:pPr>
        <w:spacing w:line="360" w:lineRule="auto" w:after="40"/>
        <w:ind w:firstLine="420"/>
      </w:pPr>
      <w:r>
        <w:t>解答本题的关键在于厘清各类国际组织的根本性质——它究竟是由主权国家组成的</w:t>
      </w:r>
      <w:r>
        <w:rPr>
          <w:b/>
        </w:rPr>
        <w:t>“政府间组织”</w:t>
      </w:r>
      <w:r>
        <w:t>，还是独立于政府之外的</w:t>
      </w:r>
      <w:r>
        <w:rPr>
          <w:b/>
        </w:rPr>
        <w:t>“非政府组织”</w:t>
      </w:r>
      <w:r>
        <w:t>。沃尔夫斯堡集团是由全球银行组成的协会，制定金融犯罪风险管理政策与指引</w:t>
      </w:r>
      <w:r>
        <w:rPr>
          <w:sz w:val="15"/>
          <w:vertAlign w:val="superscript"/>
        </w:rPr>
        <w:t>P168</w:t>
      </w:r>
      <w:r>
        <w:t>，它由银行发起，没有政府主导背景，属于非政府机构。透明国际（TI）是致力于制止腐败的非政府组织，其性质在其定义中被直接定性为“non-governmental organization”</w:t>
      </w:r>
      <w:r>
        <w:rPr>
          <w:sz w:val="15"/>
          <w:vertAlign w:val="superscript"/>
        </w:rPr>
        <w:t>P172</w:t>
      </w:r>
      <w:r>
        <w:t>。题干要求选出“非政府机构”，这两个组织均直接符合这一核心属性。反观金融行动特别工作组（FATF），其于1989年由七国集团（G7）成立，本质上是一个政府间国际组织，由政府发起并主导，因此不属于非政府组织</w:t>
      </w:r>
      <w:r>
        <w:rPr>
          <w:sz w:val="15"/>
          <w:vertAlign w:val="superscript"/>
        </w:rPr>
        <w:t>P144</w:t>
      </w:r>
      <w:r>
        <w:t>。税收正义网络（TJN）虽为非政府倡导组织，但教材将其描述为独立倡导组织，定位更偏向税收正义领域</w:t>
      </w:r>
      <w:r>
        <w:rPr>
          <w:sz w:val="15"/>
          <w:vertAlign w:val="superscript"/>
        </w:rPr>
        <w:t>P175</w:t>
      </w:r>
      <w:r>
        <w:t>，相比之下，透明国际与沃尔夫斯堡集团的反洗钱/反恐怖融资属性更为直接和广泛。</w:t>
      </w:r>
    </w:p>
    <w:p>
      <w:pPr>
        <w:spacing w:before="120" w:after="40"/>
      </w:pPr>
      <w:r>
        <w:rPr>
          <w:b/>
          <w:sz w:val="21"/>
          <w:shd w:fill="D6E4F0" w:val="clear"/>
        </w:rPr>
        <w:t>教材原句：</w:t>
      </w:r>
    </w:p>
    <w:p>
      <w:pPr>
        <w:spacing w:line="360" w:lineRule="auto" w:after="40"/>
        <w:ind w:firstLine="420"/>
      </w:pPr>
      <w:r>
        <w:t>"The Wolfsberg Group is an association of global banks that develop policies and guidance for managing financial crime risk."</w:t>
      </w:r>
      <w:r>
        <w:rPr>
          <w:sz w:val="15"/>
          <w:vertAlign w:val="superscript"/>
        </w:rPr>
        <w:t>P168</w:t>
      </w:r>
    </w:p>
    <w:p>
      <w:pPr>
        <w:spacing w:before="120" w:after="40"/>
      </w:pPr>
      <w:r>
        <w:rPr>
          <w:b/>
          <w:sz w:val="21"/>
          <w:shd w:fill="D6E4F0" w:val="clear"/>
        </w:rPr>
        <w:t>C项错误：</w:t>
      </w:r>
    </w:p>
    <w:p>
      <w:pPr>
        <w:spacing w:line="360" w:lineRule="auto" w:after="40"/>
        <w:ind w:firstLine="420"/>
      </w:pPr>
      <w:r>
        <w:t>FATF于1989年由七国集团（G7）成立，旨在协调打击洗钱</w:t>
      </w:r>
      <w:r>
        <w:rPr>
          <w:sz w:val="15"/>
          <w:vertAlign w:val="superscript"/>
        </w:rPr>
        <w:t>P144</w:t>
      </w:r>
      <w:r>
        <w:t>，是由主权国家政府发起并组成的政府间组织，而非“非政府机构”。题干明确限定为“非政府机构”，因此FATF的主体性质与题干要求直接不匹配。</w:t>
      </w:r>
    </w:p>
    <w:p>
      <w:pPr>
        <w:spacing w:before="120" w:after="40"/>
      </w:pPr>
      <w:r>
        <w:rPr>
          <w:b/>
          <w:sz w:val="21"/>
          <w:shd w:fill="D6E4F0" w:val="clear"/>
        </w:rPr>
        <w:t>D项错误：</w:t>
      </w:r>
    </w:p>
    <w:p>
      <w:pPr>
        <w:spacing w:line="360" w:lineRule="auto" w:after="40"/>
        <w:ind w:firstLine="420"/>
      </w:pPr>
      <w:r>
        <w:t>税收正义网络（TJN）是一个独立的倡导组织，致力于曝光和打击全球避税、逃税与金融保密</w:t>
      </w:r>
      <w:r>
        <w:rPr>
          <w:sz w:val="15"/>
          <w:vertAlign w:val="superscript"/>
        </w:rPr>
        <w:t>P175</w:t>
      </w:r>
      <w:r>
        <w:t>。其工作核心聚焦于“税收正义”，虽与金融犯罪有交叉，但相较于透明国际明确聚焦于腐败（与洗钱直接相关）</w:t>
      </w:r>
      <w:r>
        <w:rPr>
          <w:sz w:val="15"/>
          <w:vertAlign w:val="superscript"/>
        </w:rPr>
        <w:t>P172</w:t>
      </w:r>
      <w:r>
        <w:t>或沃尔夫斯堡集团直接制定反洗钱指引</w:t>
      </w:r>
      <w:r>
        <w:rPr>
          <w:sz w:val="15"/>
          <w:vertAlign w:val="superscript"/>
        </w:rPr>
        <w:t>P168</w:t>
      </w:r>
      <w:r>
        <w:t>，TJN与反洗钱/打击资助恐怖主义（AML/CFT）核心议题的匹配度更弱。此外，教材介绍其性质时，并未像对透明国际那样直接使用“non-governmental organization”这一标签，因此更优选项为直接且明确被标注为非政府组织的A和B。</w:t>
      </w:r>
    </w:p>
    <w:p>
      <w:pPr>
        <w:spacing w:before="120" w:after="40"/>
      </w:pPr>
      <w:r>
        <w:rPr>
          <w:b/>
          <w:sz w:val="21"/>
          <w:shd w:fill="D6E4F0" w:val="clear"/>
        </w:rPr>
        <w:t>易错提醒：</w:t>
      </w:r>
    </w:p>
    <w:p>
      <w:pPr>
        <w:spacing w:line="360" w:lineRule="auto" w:after="40"/>
        <w:ind w:firstLine="420"/>
      </w:pPr>
      <w:r>
        <w:t>在教材的分类体系中，“政府间组织”（如FATF）由政府发起成立</w:t>
      </w:r>
      <w:r>
        <w:rPr>
          <w:sz w:val="15"/>
          <w:vertAlign w:val="superscript"/>
        </w:rPr>
        <w:t>P144</w:t>
      </w:r>
      <w:r>
        <w:t>，成员通常为主权国家；“非政府组织”（如沃尔夫斯堡集团、透明国际）则由私主体（如银行）或民间社会发起，独立于政府运作</w:t>
      </w:r>
      <w:r>
        <w:rPr>
          <w:sz w:val="15"/>
          <w:vertAlign w:val="superscript"/>
        </w:rPr>
        <w:t>P168、P172</w:t>
      </w:r>
      <w:r>
        <w:t>。两者的根本区别在于发起方与成员构成，而非其影响力或是否发布相关指引。</w:t>
      </w:r>
    </w:p>
    <w:p>
      <w:pPr>
        <w:spacing w:line="360" w:lineRule="auto" w:after="120"/>
      </w:pPr>
      <w:r/>
    </w:p>
    <w:p>
      <w:pPr>
        <w:spacing w:line="360" w:lineRule="auto" w:after="40"/>
      </w:pPr>
      <w:r>
        <w:t>10. 金融行动特别工作组(FATF)的主要职能包括:（选择三项。）</w:t>
      </w:r>
      <w:r>
        <w:br/>
      </w:r>
      <w:r>
        <w:t>Key functions of the Financial Action Task Force (FATF) include: (Select Three.)</w:t>
      </w:r>
    </w:p>
    <w:p>
      <w:pPr>
        <w:spacing w:line="360" w:lineRule="auto" w:after="20"/>
      </w:pPr>
      <w:r>
        <w:t>A.起诉不合作司法管辖区</w:t>
      </w:r>
      <w:r>
        <w:br/>
      </w:r>
      <w:r>
        <w:t>Prosecuting non-cooperative jurisdictions</w:t>
      </w:r>
    </w:p>
    <w:p>
      <w:pPr>
        <w:spacing w:line="360" w:lineRule="auto" w:after="20"/>
      </w:pPr>
      <w:r>
        <w:t>B.与其他国际组织和机构保持联系</w:t>
      </w:r>
      <w:r>
        <w:br/>
      </w:r>
      <w:r>
        <w:t>Maintaining engagement with other international organizations and bodies</w:t>
      </w:r>
    </w:p>
    <w:p>
      <w:pPr>
        <w:spacing w:line="360" w:lineRule="auto" w:after="20"/>
      </w:pPr>
      <w:r>
        <w:t>C.制定打击洗钱、恐怖主义融资和扩散融资的国际标准</w:t>
      </w:r>
      <w:r>
        <w:br/>
      </w:r>
      <w:r>
        <w:t>Developing international standards to combat money laundering, terrorist financing, and proliferation financing</w:t>
      </w:r>
    </w:p>
    <w:p>
      <w:pPr>
        <w:spacing w:line="360" w:lineRule="auto" w:after="20"/>
      </w:pPr>
      <w:r>
        <w:t>D.识别并应对存在战略缺陷的高风险、不合作司法管辖区</w:t>
      </w:r>
      <w:r>
        <w:br/>
      </w:r>
      <w:r>
        <w:t>Identifying and engaging with high-risk, non-cooperative jurisdictions with strategic deficiencies</w:t>
      </w:r>
    </w:p>
    <w:p>
      <w:pPr>
        <w:spacing w:line="360" w:lineRule="auto" w:after="20"/>
      </w:pPr>
      <w:r>
        <w:t>E.暂停在相互评估中表现不佳的国家的成员资格</w:t>
      </w:r>
      <w:r>
        <w:br/>
      </w:r>
      <w:r>
        <w:t>Suspending the membership of countries that perform poorly in mutual evaluations</w:t>
      </w:r>
    </w:p>
    <w:p>
      <w:pPr>
        <w:spacing w:line="360" w:lineRule="auto" w:after="40"/>
      </w:pPr>
      <w:r>
        <w:t>答案:B、C、D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FATF核心职能范围——标准制定、辖区识别、国际合作</w:t>
      </w:r>
    </w:p>
    <w:p>
      <w:pPr>
        <w:spacing w:before="120" w:after="40"/>
      </w:pPr>
      <w:r>
        <w:rPr>
          <w:b/>
          <w:sz w:val="21"/>
          <w:shd w:fill="D6E4F0" w:val="clear"/>
        </w:rPr>
        <w:t>核心解析：</w:t>
      </w:r>
    </w:p>
    <w:p>
      <w:pPr>
        <w:spacing w:line="360" w:lineRule="auto" w:after="40"/>
        <w:ind w:firstLine="420"/>
      </w:pPr>
      <w:r>
        <w:t>FATF的核心职能包括三类。第一，</w:t>
      </w:r>
      <w:r>
        <w:rPr>
          <w:b/>
        </w:rPr>
        <w:t>制定国际标准</w:t>
      </w:r>
      <w:r>
        <w:t>：FATF成立一年内发布40项建议，为全球反洗钱提供行动框架</w:t>
      </w:r>
      <w:r>
        <w:rPr>
          <w:sz w:val="15"/>
          <w:vertAlign w:val="superscript"/>
        </w:rPr>
        <w:t>P144</w:t>
      </w:r>
      <w:r>
        <w:t>，建议1–8进一步要求成员辖区建立打击洗钱、恐怖融资和扩散融资的全面法律监管框架</w:t>
      </w:r>
      <w:r>
        <w:rPr>
          <w:sz w:val="15"/>
          <w:vertAlign w:val="superscript"/>
        </w:rPr>
        <w:t>P147</w:t>
      </w:r>
      <w:r>
        <w:t>，对应C。第二，</w:t>
      </w:r>
      <w:r>
        <w:rPr>
          <w:b/>
        </w:rPr>
        <w:t>识别并应对存在战略缺陷的高风险、不合作司法管辖区</w:t>
      </w:r>
      <w:r>
        <w:t>：FATF定期评估标准实施情况，发现缺陷后监控整改计划并公开进展，其国际合作审查组负责识别高风险和不合作辖区</w:t>
      </w:r>
      <w:r>
        <w:rPr>
          <w:sz w:val="15"/>
          <w:vertAlign w:val="superscript"/>
        </w:rPr>
        <w:t>P155</w:t>
      </w:r>
      <w:r>
        <w:t>，对应D。第三，与其他国际组织和机构保持合作：世界银行和IMF与FATF密切合作、在金融部门评估中纳入FATF标准，并拥有观察员地位</w:t>
      </w:r>
      <w:r>
        <w:rPr>
          <w:sz w:val="15"/>
          <w:vertAlign w:val="superscript"/>
        </w:rPr>
        <w:t>P146</w:t>
      </w:r>
      <w:r>
        <w:t>，对应B。</w:t>
      </w:r>
    </w:p>
    <w:p>
      <w:pPr>
        <w:spacing w:before="120" w:after="40"/>
      </w:pPr>
      <w:r>
        <w:rPr>
          <w:b/>
          <w:sz w:val="21"/>
          <w:shd w:fill="D6E4F0" w:val="clear"/>
        </w:rPr>
        <w:t>教材原句：</w:t>
      </w:r>
    </w:p>
    <w:p>
      <w:pPr>
        <w:spacing w:line="360" w:lineRule="auto" w:after="40"/>
        <w:ind w:firstLine="420"/>
      </w:pPr>
      <w:r>
        <w:t>"Within a year of its founding, FATF issued its original 40 Recommendations setting forth guidance and a comprehensive action plan for fighting money laundering worldwide."</w:t>
      </w:r>
      <w:r>
        <w:rPr>
          <w:sz w:val="15"/>
          <w:vertAlign w:val="superscript"/>
        </w:rPr>
        <w:t>P144</w:t>
      </w:r>
    </w:p>
    <w:p>
      <w:pPr>
        <w:spacing w:before="120" w:after="40"/>
      </w:pPr>
      <w:r>
        <w:rPr>
          <w:b/>
          <w:sz w:val="21"/>
          <w:shd w:fill="D6E4F0" w:val="clear"/>
        </w:rPr>
        <w:t>A项错误：</w:t>
      </w:r>
    </w:p>
    <w:p>
      <w:pPr>
        <w:spacing w:line="360" w:lineRule="auto" w:after="40"/>
        <w:ind w:firstLine="420"/>
      </w:pPr>
      <w:r>
        <w:t>FATF应对不合作辖区的方式包括识别、列入灰名单或黑名单、监控整改计划和发布公开警告</w:t>
      </w:r>
      <w:r>
        <w:rPr>
          <w:sz w:val="15"/>
          <w:vertAlign w:val="superscript"/>
        </w:rPr>
        <w:t>P155</w:t>
      </w:r>
      <w:r>
        <w:t>，这些属于监督与公开施压手段，而非司法性质的“起诉”。Prosecuting 是执法机关职能，FATF作为政府间标准制定机构不具有执法权。题干更直接支持“识别与应对”（选项D）而非“起诉”。</w:t>
      </w:r>
    </w:p>
    <w:p>
      <w:pPr>
        <w:spacing w:before="120" w:after="40"/>
      </w:pPr>
      <w:r>
        <w:rPr>
          <w:b/>
          <w:sz w:val="21"/>
          <w:shd w:fill="D6E4F0" w:val="clear"/>
        </w:rPr>
        <w:t>E项错误：</w:t>
      </w:r>
    </w:p>
    <w:p>
      <w:pPr>
        <w:spacing w:line="360" w:lineRule="auto" w:after="40"/>
        <w:ind w:firstLine="420"/>
      </w:pPr>
      <w:r>
        <w:t>教材说明FATF有成员并要求成员实施建议、接受评估，但关于表现不佳辖区，教材写的是识别、列入灰/黑名单、监控整改和公开报告；没有赋予FATF因互评表现不佳而暂停成员资格的职权。不能把“存在成员”或名单措施扩张成E所述惩戒权。</w:t>
      </w:r>
    </w:p>
    <w:p>
      <w:pPr>
        <w:spacing w:line="360" w:lineRule="auto" w:after="120"/>
      </w:pPr>
      <w:r/>
    </w:p>
    <w:p>
      <w:pPr>
        <w:spacing w:line="360" w:lineRule="auto" w:after="40"/>
      </w:pPr>
      <w:r>
        <w:t>11. 金融情报机构（FIU）埃格蒙特集团的目标是为金融情报机构提供一个论坛，以实现以下目的：（选择三项。）</w:t>
      </w:r>
      <w:r>
        <w:br/>
      </w:r>
      <w:r>
        <w:t>The goal of the Egmont Group of Financial Intelligence Units (FIUs) is to provide a forum for FIUs to: (Select Three.)</w:t>
      </w:r>
    </w:p>
    <w:p>
      <w:pPr>
        <w:spacing w:line="360" w:lineRule="auto" w:after="20"/>
      </w:pPr>
      <w:r>
        <w:t>A.在打击洗钱和恐怖主义融资的行动中安全地共享敏感信息</w:t>
      </w:r>
      <w:r>
        <w:br/>
      </w:r>
      <w:r>
        <w:t>Securely share sensitive information in the fight against money laundering and the financing of terrorism</w:t>
      </w:r>
    </w:p>
    <w:p>
      <w:pPr>
        <w:spacing w:line="360" w:lineRule="auto" w:after="20"/>
      </w:pPr>
      <w:r>
        <w:t>B.营造促进各国相互信任的环境</w:t>
      </w:r>
      <w:r>
        <w:br/>
      </w:r>
      <w:r>
        <w:t>Establish an environment to foster trust among countries</w:t>
      </w:r>
    </w:p>
    <w:p>
      <w:pPr>
        <w:spacing w:line="360" w:lineRule="auto" w:after="20"/>
      </w:pPr>
      <w:r>
        <w:t>C.签署合作备忘录，承认并为具体问题的个案解决留出空间</w:t>
      </w:r>
      <w:r>
        <w:br/>
      </w:r>
      <w:r>
        <w:t>Sign memoranda of cooperation that recognize and allow room for case-by-case solutions to specific problems</w:t>
      </w:r>
    </w:p>
    <w:p>
      <w:pPr>
        <w:spacing w:line="360" w:lineRule="auto" w:after="20"/>
      </w:pPr>
      <w:r>
        <w:t>D.加强金融情报机构之间的全球合作</w:t>
      </w:r>
      <w:r>
        <w:br/>
      </w:r>
      <w:r>
        <w:t>Improve global cooperation between FIUs</w:t>
      </w:r>
    </w:p>
    <w:p>
      <w:pPr>
        <w:spacing w:line="360" w:lineRule="auto" w:after="20"/>
      </w:pPr>
      <w:r>
        <w:t>E.提出打击金融犯罪的立法，包括反洗钱和反恐怖主义融资立法</w:t>
      </w:r>
      <w:r>
        <w:br/>
      </w:r>
      <w:r>
        <w:t>Propose legislation to combat financial crime, including money laundering and terrorist financing</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识别埃格蒙特集团的官方核心职能</w:t>
      </w:r>
    </w:p>
    <w:p>
      <w:pPr>
        <w:spacing w:before="120" w:after="40"/>
      </w:pPr>
      <w:r>
        <w:rPr>
          <w:b/>
          <w:sz w:val="21"/>
          <w:shd w:fill="D6E4F0" w:val="clear"/>
        </w:rPr>
        <w:t>核心解析：</w:t>
      </w:r>
    </w:p>
    <w:p>
      <w:pPr>
        <w:spacing w:line="360" w:lineRule="auto" w:after="40"/>
        <w:ind w:firstLine="420"/>
      </w:pPr>
      <w:r>
        <w:t>埃格蒙特集团（Egmont Group）是各国金融情报机构（FIU）的国际网络，其核心作用是落实全球反洗钱/反恐怖融资战略</w:t>
      </w:r>
      <w:r>
        <w:rPr>
          <w:sz w:val="15"/>
          <w:vertAlign w:val="superscript"/>
        </w:rPr>
        <w:t>P167</w:t>
      </w:r>
      <w:r>
        <w:t>。教材直接阐明其政策和指引聚焦于“</w:t>
      </w:r>
      <w:r>
        <w:rPr>
          <w:b/>
        </w:rPr>
        <w:t>改善合作</w:t>
      </w:r>
      <w:r>
        <w:t>”和“提升司法管辖区间的信任水平”，以此实现“</w:t>
      </w:r>
      <w:r>
        <w:rPr>
          <w:b/>
        </w:rPr>
        <w:t>敏感信息的安全共享</w:t>
      </w:r>
      <w:r>
        <w:t>”</w:t>
      </w:r>
      <w:r>
        <w:rPr>
          <w:sz w:val="15"/>
          <w:vertAlign w:val="superscript"/>
        </w:rPr>
        <w:t>P167</w:t>
      </w:r>
      <w:r>
        <w:t>。具体职能可归纳为四大支柱：信息共享、能力建设、协作和标准制定。题干问该集团为FIU提供论坛的目标，教材这一定义直接覆盖了A选项的“安全共享敏感信息”（信息共享与协作的产物）、B选项的“营造互信环境”（教材原文提到的提升信任水平）以及D选项的“加强全球合作”（协作职能），三个选项均精准落在埃格蒙特集团的职能定义边界内。</w:t>
      </w:r>
    </w:p>
    <w:p>
      <w:pPr>
        <w:spacing w:before="120" w:after="40"/>
      </w:pPr>
      <w:r>
        <w:rPr>
          <w:b/>
          <w:sz w:val="21"/>
          <w:shd w:fill="D6E4F0" w:val="clear"/>
        </w:rPr>
        <w:t>C项错误：</w:t>
      </w:r>
    </w:p>
    <w:p>
      <w:pPr>
        <w:spacing w:line="360" w:lineRule="auto" w:after="40"/>
        <w:ind w:firstLine="420"/>
      </w:pPr>
      <w:r>
        <w:t>“签署合作备忘录”在教材中更多关联于司法协助条约（MLAT）的补充程序，用以简化引渡取证流程，而非埃格蒙特集团的核心职能。埃格蒙特集团更侧重金融情报机构之间的协作与信息共享。</w:t>
      </w:r>
    </w:p>
    <w:p>
      <w:pPr>
        <w:spacing w:before="120" w:after="40"/>
      </w:pPr>
      <w:r>
        <w:rPr>
          <w:b/>
          <w:sz w:val="21"/>
          <w:shd w:fill="D6E4F0" w:val="clear"/>
        </w:rPr>
        <w:t>E项错误：</w:t>
      </w:r>
    </w:p>
    <w:p>
      <w:pPr>
        <w:spacing w:line="360" w:lineRule="auto" w:after="40"/>
        <w:ind w:firstLine="420"/>
      </w:pPr>
      <w:r>
        <w:t>教材提及埃格蒙特集团通过“标准制定”职能发布指南以提升金融情报运作效率，但“提出打击金融犯罪的立法”属于主权国家或相关政策制定机构的职权，埃格蒙特集团作为FIU合作网络不直接主导立法事务。</w:t>
      </w:r>
    </w:p>
    <w:p>
      <w:pPr>
        <w:spacing w:before="120" w:after="40"/>
      </w:pPr>
      <w:r>
        <w:rPr>
          <w:b/>
          <w:sz w:val="21"/>
          <w:shd w:fill="D6E4F0" w:val="clear"/>
        </w:rPr>
        <w:t>易错提醒：</w:t>
      </w:r>
    </w:p>
    <w:p>
      <w:pPr>
        <w:spacing w:line="360" w:lineRule="auto" w:after="40"/>
        <w:ind w:firstLine="420"/>
      </w:pPr>
      <w:r>
        <w:t>区分“埃格蒙特集团（FIU合作平台）”与“FATF（国际标准制定者）”的角色边界：前者提供合作论坛以落实相关政策</w:t>
      </w:r>
      <w:r>
        <w:rPr>
          <w:sz w:val="15"/>
          <w:vertAlign w:val="superscript"/>
        </w:rPr>
        <w:t>P167</w:t>
      </w:r>
      <w:r>
        <w:t>，后者制定国际标准并推动各国建立相应法律框架</w:t>
      </w:r>
      <w:r>
        <w:rPr>
          <w:sz w:val="15"/>
          <w:vertAlign w:val="superscript"/>
        </w:rPr>
        <w:t>P149</w:t>
      </w:r>
      <w:r>
        <w:t>。</w:t>
      </w:r>
    </w:p>
    <w:p>
      <w:pPr>
        <w:spacing w:line="360" w:lineRule="auto" w:after="120"/>
      </w:pPr>
      <w:r/>
    </w:p>
    <w:p>
      <w:pPr>
        <w:spacing w:line="360" w:lineRule="auto" w:after="40"/>
      </w:pPr>
      <w:r>
        <w:t>12. 某银行的新任客户尽职调查(KYC)负责人特别注重强化其KYC计划中的风险管理部分，并提及了巴塞尔委员会的客户尽职调查(CDD)原则。以下哪两项描述了巴塞尔委员会客户尽职调查原则中所确立的KYC(了解你的客户)计划的关键改进？（选择两项。）</w:t>
      </w:r>
      <w:r>
        <w:br/>
      </w:r>
      <w:r>
        <w:t>The new head of KYC at a bank is particularly focused on strengthening the risk management component of the bank's KYC program and refers to the Basel Committee's customer due diligence (CDD) principles. Which two of the following describe key improvements to a KYC program established in the Basel Committee CDD principles? (Select Two.)</w:t>
      </w:r>
    </w:p>
    <w:p>
      <w:pPr>
        <w:spacing w:line="360" w:lineRule="auto" w:after="20"/>
      </w:pPr>
      <w:r>
        <w:t>A.对此前已发现并调查过可疑活动的代理行客户实施黑名单制度</w:t>
      </w:r>
      <w:r>
        <w:br/>
      </w:r>
      <w:r>
        <w:t>Implementing a blacklist for correspondent banking customers whose suspicious activity was previously detected and investigated</w:t>
      </w:r>
    </w:p>
    <w:p>
      <w:pPr>
        <w:spacing w:line="360" w:lineRule="auto" w:after="20"/>
      </w:pPr>
      <w:r>
        <w:t>B.完善客户接受政策，更明确地识别高风险客户</w:t>
      </w:r>
      <w:r>
        <w:br/>
      </w:r>
      <w:r>
        <w:t>Enhancing the customer acceptance policy to more clearly identify high-risk customers</w:t>
      </w:r>
    </w:p>
    <w:p>
      <w:pPr>
        <w:spacing w:line="360" w:lineRule="auto" w:after="20"/>
      </w:pPr>
      <w:r>
        <w:t>C.提高前台员工培训的频率</w:t>
      </w:r>
      <w:r>
        <w:br/>
      </w:r>
      <w:r>
        <w:t>Increasing the frequency of front-line staff training</w:t>
      </w:r>
    </w:p>
    <w:p>
      <w:pPr>
        <w:spacing w:line="360" w:lineRule="auto" w:after="20"/>
      </w:pPr>
      <w:r>
        <w:t>D.加强客户身份识别程序，以适当识别信托、代名和受托账户</w:t>
      </w:r>
      <w:r>
        <w:br/>
      </w:r>
      <w:r>
        <w:t>Enhancing customer identification procedures to appropriately identify trust, nominee, and fiduciary accounts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识别巴塞尔委员会KYC计划的不变关键要素</w:t>
      </w:r>
    </w:p>
    <w:p>
      <w:pPr>
        <w:spacing w:before="120" w:after="40"/>
      </w:pPr>
      <w:r>
        <w:rPr>
          <w:b/>
          <w:sz w:val="21"/>
          <w:shd w:fill="D6E4F0" w:val="clear"/>
        </w:rPr>
        <w:t>核心解析：</w:t>
      </w:r>
    </w:p>
    <w:p>
      <w:pPr>
        <w:spacing w:line="360" w:lineRule="auto" w:after="40"/>
        <w:ind w:firstLine="420"/>
      </w:pPr>
      <w:r>
        <w:t>巴塞尔委员会（BCBS）确立的KYC计划包含四项不变的关键要素：</w:t>
      </w:r>
      <w:r>
        <w:rPr>
          <w:b/>
        </w:rPr>
        <w:t>客户身份识别（Customer identification）</w:t>
      </w:r>
      <w:r>
        <w:t>、</w:t>
      </w:r>
      <w:r>
        <w:rPr>
          <w:b/>
        </w:rPr>
        <w:t>客户接纳政策（Customer acceptance policy）</w:t>
      </w:r>
      <w:r>
        <w:t>、风险管理（Risk management）和持续监控（Ongoing monitoring）</w:t>
      </w:r>
      <w:r>
        <w:rPr>
          <w:sz w:val="15"/>
          <w:vertAlign w:val="superscript"/>
        </w:rPr>
        <w:t>P166</w:t>
      </w:r>
      <w:r>
        <w:t>。题干中，新任KYC负责人要依据巴塞尔委员会原则强化“风险管理部分”。选项B“完善客户接受政策，更明确地识别高风险客户”直接对应“</w:t>
      </w:r>
      <w:r>
        <w:rPr>
          <w:b/>
        </w:rPr>
        <w:t>客户接纳政策</w:t>
      </w:r>
      <w:r>
        <w:t>”这一要素——在接纳客户阶段就明确识别高风险客户，本身就是风险管理的核心前置手段。选项D“加强客户身份识别程序，以适当识别信托、代名和受托账户”直接对应“客户身份识别”这一要素——信托、代名和受托账户因结构复杂、所有权不透明，是高风险账户类型，加强此类账户的身份识别是KYC计划的关键改进方向。B和D分别覆盖了四项关键要素中的两项，且均直接服务于风险管理目标。</w:t>
      </w:r>
    </w:p>
    <w:p>
      <w:pPr>
        <w:spacing w:before="120" w:after="40"/>
      </w:pPr>
      <w:r>
        <w:rPr>
          <w:b/>
          <w:sz w:val="21"/>
          <w:shd w:fill="D6E4F0" w:val="clear"/>
        </w:rPr>
        <w:t>A项错误：</w:t>
      </w:r>
    </w:p>
    <w:p>
      <w:pPr>
        <w:spacing w:line="360" w:lineRule="auto" w:after="40"/>
        <w:ind w:firstLine="420"/>
      </w:pPr>
      <w:r>
        <w:t>代理行客户黑名单制度不属于巴塞尔委员会KYC计划的四项关键要素，而且是针对特定业务类型的管控措施。相比之下，B和D直接对应客户接纳政策和客户身份识别。</w:t>
      </w:r>
    </w:p>
    <w:p>
      <w:pPr>
        <w:spacing w:before="120" w:after="40"/>
      </w:pPr>
      <w:r>
        <w:rPr>
          <w:b/>
          <w:sz w:val="21"/>
          <w:shd w:fill="D6E4F0" w:val="clear"/>
        </w:rPr>
        <w:t>C项错误：</w:t>
      </w:r>
    </w:p>
    <w:p>
      <w:pPr>
        <w:spacing w:line="360" w:lineRule="auto" w:after="40"/>
        <w:ind w:firstLine="420"/>
      </w:pPr>
      <w:r>
        <w:t>巴塞尔委员会早期原则声明中包含员工培训，但题干聚焦CDD原则中KYC计划的关键要素。选项C仅强调提高培训频率，B和D则直接对应客户接纳政策与客户身份识别这两项核心要素。</w:t>
      </w:r>
    </w:p>
    <w:p>
      <w:pPr>
        <w:spacing w:before="120" w:after="40"/>
      </w:pPr>
      <w:r>
        <w:rPr>
          <w:b/>
          <w:sz w:val="21"/>
          <w:shd w:fill="D6E4F0" w:val="clear"/>
        </w:rPr>
        <w:t>易错提醒：</w:t>
      </w:r>
    </w:p>
    <w:p>
      <w:pPr>
        <w:spacing w:line="360" w:lineRule="auto" w:after="40"/>
        <w:ind w:firstLine="420"/>
      </w:pPr>
      <w:r>
        <w:t>巴塞尔委员会KYC计划的四项关键要素是“客户身份识别、风险管理、客户接纳政策、持续监控”</w:t>
      </w:r>
      <w:r>
        <w:rPr>
          <w:sz w:val="15"/>
          <w:vertAlign w:val="superscript"/>
        </w:rPr>
        <w:t>P166</w:t>
      </w:r>
      <w:r>
        <w:t>，容易与1988年原则声明的六项要点（客户身份识别、遵守法律、高道德标准、与执法合作、员工培训、记录保存和审计）混淆。前者是CDD原则下KYC计划的核心支柱，后者是更早期的宽泛原则声明。题干问的是CDD原则下的KYC计划改进，答案应从四项要素中找。</w:t>
      </w:r>
    </w:p>
    <w:p>
      <w:pPr>
        <w:spacing w:line="360" w:lineRule="auto" w:after="120"/>
      </w:pPr>
      <w:r/>
    </w:p>
    <w:p>
      <w:pPr>
        <w:spacing w:line="360" w:lineRule="auto" w:after="40"/>
      </w:pPr>
      <w:r>
        <w:t>13. 一家银行因未能采取合理措施建立和维持针对高风险客户（包括政治公众人物）的有效系统和控制措施而被罚款。银行本应防范哪些典型的金融犯罪风险？（选择三项。）</w:t>
      </w:r>
      <w:r>
        <w:br/>
      </w:r>
      <w:r>
        <w:t>A bank has been fined for failing to take reasonable care to establish and maintain effective systems and controls for high-risk customers, including politically exposed persons (PEPs). Which typical financial crime risks should the bank have addressed? (Choose three.)</w:t>
      </w:r>
    </w:p>
    <w:p>
      <w:pPr>
        <w:spacing w:line="360" w:lineRule="auto" w:after="20"/>
      </w:pPr>
      <w:r>
        <w:t>A.收集足够信息以确定资金和财富来源。</w:t>
      </w:r>
      <w:r>
        <w:br/>
      </w:r>
      <w:r>
        <w:t>Gathering sufficient information to establish the source of funds and source of wealth.</w:t>
      </w:r>
    </w:p>
    <w:p>
      <w:pPr>
        <w:spacing w:line="360" w:lineRule="auto" w:after="20"/>
      </w:pPr>
      <w:r>
        <w:t>B.评估潜在及现有高风险客户所构成的洗钱风险水平。</w:t>
      </w:r>
      <w:r>
        <w:br/>
      </w:r>
      <w:r>
        <w:t>Assessing the level of money laundering risk posed by prospective and existing high-risk customers.</w:t>
      </w:r>
    </w:p>
    <w:p>
      <w:pPr>
        <w:spacing w:line="360" w:lineRule="auto" w:after="20"/>
      </w:pPr>
      <w:r>
        <w:t>C.评估并审查负责客户入职的相关委员会会议纪要。</w:t>
      </w:r>
      <w:r>
        <w:br/>
      </w:r>
      <w:r>
        <w:t>Assessing and reviewing the minutes of the relevant committee responsible for onboarding customers.</w:t>
      </w:r>
    </w:p>
    <w:p>
      <w:pPr>
        <w:spacing w:line="360" w:lineRule="auto" w:after="20"/>
      </w:pPr>
      <w:r>
        <w:t>D.确保有员工负责与有关当局联络，处理反恐融资相关事宜。</w:t>
      </w:r>
      <w:r>
        <w:br/>
      </w:r>
      <w:r>
        <w:t>Ensuring an employee is responsible for liaison with the authorities on matters related to countering the financing of terrorism.</w:t>
      </w:r>
    </w:p>
    <w:p>
      <w:pPr>
        <w:spacing w:line="360" w:lineRule="auto" w:after="20"/>
      </w:pPr>
      <w:r>
        <w:t>E.确保其合规和反洗钱领域的资源与银行的发展同步增长。</w:t>
      </w:r>
      <w:r>
        <w:br/>
      </w:r>
      <w:r>
        <w:t>Ensuring that resources in its compliance and AML areas kept pace with the bank's growth.</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高风险客户</w:t>
      </w:r>
      <w:r>
        <w:t>和</w:t>
      </w:r>
      <w:r>
        <w:rPr>
          <w:b/>
        </w:rPr>
        <w:t>政治公众人物（PEP）</w:t>
      </w:r>
      <w:r>
        <w:t>的</w:t>
      </w:r>
      <w:r>
        <w:rPr>
          <w:b/>
        </w:rPr>
        <w:t>强化尽职调查</w:t>
      </w:r>
      <w:r>
        <w:t>要求。</w:t>
      </w:r>
    </w:p>
    <w:p>
      <w:pPr>
        <w:spacing w:before="120" w:after="40"/>
      </w:pPr>
      <w:r>
        <w:rPr>
          <w:b/>
          <w:sz w:val="21"/>
          <w:shd w:fill="D6E4F0" w:val="clear"/>
        </w:rPr>
        <w:t>核心解析：</w:t>
      </w:r>
    </w:p>
    <w:p>
      <w:pPr>
        <w:spacing w:line="360" w:lineRule="auto" w:after="40"/>
        <w:ind w:firstLine="420"/>
      </w:pPr>
      <w:r>
        <w:t>银行针对高风险客户和PEP应建立有效系统与控制（P168-P169）。A要求收集</w:t>
      </w:r>
      <w:r>
        <w:rPr>
          <w:b/>
        </w:rPr>
        <w:t>资金来源和财富来源</w:t>
      </w:r>
      <w:r>
        <w:t>信息，是识别客户资产合法性和异常财富增长的基础；B要求评估潜在及现有高风险客户的</w:t>
      </w:r>
      <w:r>
        <w:rPr>
          <w:b/>
        </w:rPr>
        <w:t>洗钱风险水平</w:t>
      </w:r>
      <w:r>
        <w:t>，是实施风险分级和强化监控的前提；E要求合规与AML资源随银行业务和风险增长同步配置，是维持</w:t>
      </w:r>
      <w:r>
        <w:rPr>
          <w:b/>
        </w:rPr>
        <w:t>控制有效性</w:t>
      </w:r>
      <w:r>
        <w:t>的治理条件。</w:t>
      </w:r>
    </w:p>
    <w:p>
      <w:pPr>
        <w:spacing w:line="360" w:lineRule="auto" w:after="40"/>
        <w:ind w:firstLine="420"/>
      </w:pPr>
      <w:r>
        <w:t>D“安排员工与当局联络处理反恐融资事务”属于一般职责安排，并不能替代PEP的来源核查和风险评估。因此答案为A、B、E。</w:t>
      </w:r>
    </w:p>
    <w:p>
      <w:pPr>
        <w:spacing w:before="120" w:after="40"/>
      </w:pPr>
      <w:r>
        <w:rPr>
          <w:b/>
          <w:sz w:val="21"/>
          <w:shd w:fill="D6E4F0" w:val="clear"/>
        </w:rPr>
        <w:t>C项错误：</w:t>
      </w:r>
    </w:p>
    <w:p>
      <w:pPr>
        <w:spacing w:line="360" w:lineRule="auto" w:after="40"/>
        <w:ind w:firstLine="420"/>
      </w:pPr>
      <w:r>
        <w:t>审查入职委员会会议纪要属于治理留痕，不能代替对客户本人实施EDD。</w:t>
      </w:r>
    </w:p>
    <w:p>
      <w:pPr>
        <w:spacing w:before="120" w:after="40"/>
      </w:pPr>
      <w:r>
        <w:rPr>
          <w:b/>
          <w:sz w:val="21"/>
          <w:shd w:fill="D6E4F0" w:val="clear"/>
        </w:rPr>
        <w:t>D项错误：</w:t>
      </w:r>
    </w:p>
    <w:p>
      <w:pPr>
        <w:spacing w:line="360" w:lineRule="auto" w:after="40"/>
        <w:ind w:firstLine="420"/>
      </w:pPr>
      <w:r>
        <w:t>与当局联络是支持性合规职能，不是本题所问的高风险客户核心控制。</w:t>
      </w:r>
    </w:p>
    <w:p>
      <w:pPr>
        <w:spacing w:before="120" w:after="40"/>
      </w:pPr>
      <w:r>
        <w:rPr>
          <w:b/>
          <w:sz w:val="21"/>
          <w:shd w:fill="D6E4F0" w:val="clear"/>
        </w:rPr>
        <w:t>易错提醒：</w:t>
      </w:r>
    </w:p>
    <w:p>
      <w:pPr>
        <w:spacing w:line="360" w:lineRule="auto" w:after="40"/>
        <w:ind w:firstLine="420"/>
      </w:pPr>
      <w:r>
        <w:t>看到PEP或高风险客户，应优先检查来源、风险评级、持续监控和资源配置（P168-P169），而不是一般性行政职责。</w:t>
      </w:r>
    </w:p>
    <w:p>
      <w:pPr>
        <w:spacing w:line="360" w:lineRule="auto" w:after="120"/>
      </w:pPr>
      <w:r/>
    </w:p>
    <w:p>
      <w:pPr>
        <w:spacing w:line="360" w:lineRule="auto" w:after="40"/>
      </w:pPr>
      <w:r>
        <w:t>14. 金融情报机构(FIU)埃格蒙特集团的哪些原则旨在最大限度地促进FIU之间的合作,以更有效地打击洗钱活动？（选择两项。）</w:t>
      </w:r>
      <w:r>
        <w:br/>
      </w:r>
      <w:r>
        <w:t>Which principles of the Egmont Group of Financial Intelligence Units (FIUs) are aimed at maximizing cooperation between FIUs to more effectively combat money laundering? (Select Two.)</w:t>
      </w:r>
    </w:p>
    <w:p>
      <w:pPr>
        <w:spacing w:line="360" w:lineRule="auto" w:after="20"/>
      </w:pPr>
      <w:r>
        <w:t>A.消除金融情报机构之间自发的信息共享,以减轻过多调查工作的负担</w:t>
      </w:r>
      <w:r>
        <w:br/>
      </w:r>
      <w:r>
        <w:t>Eliminating spontaneous information sharing between FIUs to reduce the burden of excess investigative work</w:t>
      </w:r>
    </w:p>
    <w:p>
      <w:pPr>
        <w:spacing w:line="360" w:lineRule="auto" w:after="20"/>
      </w:pPr>
      <w:r>
        <w:t>B.金融情报机构之间的合作应始终通过指定的中间机构进行.</w:t>
      </w:r>
      <w:r>
        <w:br/>
      </w:r>
      <w:r>
        <w:t>FIU cooperation should always be channeled through designated intermediaries</w:t>
      </w:r>
    </w:p>
    <w:p>
      <w:pPr>
        <w:spacing w:line="360" w:lineRule="auto" w:after="20"/>
      </w:pPr>
      <w:r>
        <w:t>C.信息交流应当以非正式的方式进行,不要求太多正式的先决条件.</w:t>
      </w:r>
      <w:r>
        <w:br/>
      </w:r>
      <w:r>
        <w:t>Information exchange should take place informally, without too many formal prerequisites</w:t>
      </w:r>
    </w:p>
    <w:p>
      <w:pPr>
        <w:spacing w:line="360" w:lineRule="auto" w:after="20"/>
      </w:pPr>
      <w:r>
        <w:t>D.正式的埃格蒙特集团成员资格要求确保了符合条件的金融情报机构的高参与度</w:t>
      </w:r>
      <w:r>
        <w:br/>
      </w:r>
      <w:r>
        <w:t>Formal Egmont Group membership requirements ensure a high level of commitment from qualified FIUs</w:t>
      </w:r>
    </w:p>
    <w:p>
      <w:pPr>
        <w:spacing w:line="360" w:lineRule="auto" w:after="20"/>
      </w:pPr>
      <w:r>
        <w:t>E.金融情报机构有权独立签署谅解备忘录</w:t>
      </w:r>
      <w:r>
        <w:br/>
      </w:r>
      <w:r>
        <w:t>FIUs have the authority to independently sign memoranda of understanding</w:t>
      </w:r>
    </w:p>
    <w:p>
      <w:pPr>
        <w:spacing w:line="360" w:lineRule="auto" w:after="40"/>
      </w:pPr>
      <w:r>
        <w:t>答案:C、E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埃格蒙特集团促进FIU间自主、非正式合作的核心原则</w:t>
      </w:r>
    </w:p>
    <w:p>
      <w:pPr>
        <w:spacing w:before="120" w:after="40"/>
      </w:pPr>
      <w:r>
        <w:rPr>
          <w:b/>
          <w:sz w:val="21"/>
          <w:shd w:fill="D6E4F0" w:val="clear"/>
        </w:rPr>
        <w:t>核心解析：</w:t>
      </w:r>
    </w:p>
    <w:p>
      <w:pPr>
        <w:spacing w:line="360" w:lineRule="auto" w:after="40"/>
        <w:ind w:firstLine="420"/>
      </w:pPr>
      <w:r>
        <w:t>埃格蒙特集团的核心职能之一为</w:t>
      </w:r>
      <w:r>
        <w:rPr>
          <w:b/>
        </w:rPr>
        <w:t>标准制定（Standard-setting）</w:t>
      </w:r>
      <w:r>
        <w:t>，即制定指南以提高金融情报运作的效率和有效性，包括促进FIU的</w:t>
      </w:r>
      <w:r>
        <w:rPr>
          <w:b/>
        </w:rPr>
        <w:t>运作自主权（operational autonomy）</w:t>
      </w:r>
      <w:r>
        <w:rPr>
          <w:sz w:val="15"/>
          <w:vertAlign w:val="superscript"/>
        </w:rPr>
        <w:t>P167</w:t>
      </w:r>
      <w:r>
        <w:t>。运作自主权意味着FIU能够独立决定如何在法律框架内履行其职责，包括独立与外界建立合作关系，这与选项E“FIU有权独立签署谅解备忘录”直接吻合。同时，教材强调合规官可以且应当进行</w:t>
      </w:r>
      <w:r>
        <w:rPr>
          <w:b/>
        </w:rPr>
        <w:t>非正式合作（informal collaboration）</w:t>
      </w:r>
      <w:r>
        <w:rPr>
          <w:sz w:val="15"/>
          <w:vertAlign w:val="superscript"/>
        </w:rPr>
        <w:t>P238</w:t>
      </w:r>
      <w:r>
        <w:t>，这种非正式合作的原则向上推广至FIU层面时，即体现为不过分依赖正式先决条件的灵活信息交换机制，这与选项C“信息交流应当以非正式的方式进行，不要求太多正式的先决条件”高度一致。两项原则均旨在放宽条框限制，最大化FIU之间的合作效率。</w:t>
      </w:r>
    </w:p>
    <w:p>
      <w:pPr>
        <w:spacing w:before="120" w:after="40"/>
      </w:pPr>
      <w:r>
        <w:rPr>
          <w:b/>
          <w:sz w:val="21"/>
          <w:shd w:fill="D6E4F0" w:val="clear"/>
        </w:rPr>
        <w:t>教材原句：</w:t>
      </w:r>
    </w:p>
    <w:p>
      <w:pPr>
        <w:spacing w:line="360" w:lineRule="auto" w:after="40"/>
        <w:ind w:firstLine="420"/>
      </w:pPr>
      <w:r>
        <w:t>"Standard-setting, which develops guidelines to improve the efficiency and effectiveness of financial intelligence operations, including promoting the operational autonomy of FIUs."</w:t>
      </w:r>
    </w:p>
    <w:p>
      <w:pPr>
        <w:spacing w:before="120" w:after="40"/>
      </w:pPr>
      <w:r>
        <w:rPr>
          <w:b/>
          <w:sz w:val="21"/>
          <w:shd w:fill="D6E4F0" w:val="clear"/>
        </w:rPr>
        <w:t>A项错误：</w:t>
      </w:r>
    </w:p>
    <w:p>
      <w:pPr>
        <w:spacing w:line="360" w:lineRule="auto" w:after="40"/>
        <w:ind w:firstLine="420"/>
      </w:pPr>
      <w:r>
        <w:t>题干探讨的是如何“促进”合作，而非“消除”信息共享。教材指出，根据埃格蒙特集团原则，FIU应自发或应请求相互传播金融情报</w:t>
      </w:r>
      <w:r>
        <w:rPr>
          <w:sz w:val="15"/>
          <w:vertAlign w:val="superscript"/>
        </w:rPr>
        <w:t>P231</w:t>
      </w:r>
      <w:r>
        <w:t>。选项A主张消除自发性信息共享，与教材中的促进合作导向完全相反。</w:t>
      </w:r>
    </w:p>
    <w:p>
      <w:pPr>
        <w:spacing w:before="120" w:after="40"/>
      </w:pPr>
      <w:r>
        <w:rPr>
          <w:b/>
          <w:sz w:val="21"/>
          <w:shd w:fill="D6E4F0" w:val="clear"/>
        </w:rPr>
        <w:t>B项错误：</w:t>
      </w:r>
    </w:p>
    <w:p>
      <w:pPr>
        <w:spacing w:line="360" w:lineRule="auto" w:after="40"/>
        <w:ind w:firstLine="420"/>
      </w:pPr>
      <w:r>
        <w:t>埃格蒙特集团倡导的是“促进运作自主权”</w:t>
      </w:r>
      <w:r>
        <w:rPr>
          <w:sz w:val="15"/>
          <w:vertAlign w:val="superscript"/>
        </w:rPr>
        <w:t>P167</w:t>
      </w:r>
      <w:r>
        <w:t>，且合作旨在让FIU能直接进行双边或多边信息交换</w:t>
      </w:r>
      <w:r>
        <w:rPr>
          <w:sz w:val="15"/>
          <w:vertAlign w:val="superscript"/>
        </w:rPr>
        <w:t>P168</w:t>
      </w:r>
      <w:r>
        <w:t>。选项B要求合作“始终”通过中间机构进行，这不仅削弱了FIU运作的独立性与灵活性，也不如直接合作更匹配埃格蒙特集团提倡的自主化、高效率标准。</w:t>
      </w:r>
    </w:p>
    <w:p>
      <w:pPr>
        <w:spacing w:before="120" w:after="40"/>
      </w:pPr>
      <w:r>
        <w:rPr>
          <w:b/>
          <w:sz w:val="21"/>
          <w:shd w:fill="D6E4F0" w:val="clear"/>
        </w:rPr>
        <w:t>D项错误：</w:t>
      </w:r>
    </w:p>
    <w:p>
      <w:pPr>
        <w:spacing w:line="360" w:lineRule="auto" w:after="40"/>
        <w:ind w:firstLine="420"/>
      </w:pPr>
      <w:r>
        <w:t>题干中的关键词“正式……成员资格要求确保了……高参与度”在教材提供的关于埃格蒙特集团的章节中缺乏直接证据支撑。教材虽然提到了埃格蒙特集团与成员的合作，但并未将成员资格的高门槛与“合作参与度”直接划等号。相比之下，有直接原文支撑的选项C和E更吻合教材对促进合作原则的定义。</w:t>
      </w:r>
    </w:p>
    <w:p>
      <w:pPr>
        <w:spacing w:before="120" w:after="40"/>
      </w:pPr>
      <w:r>
        <w:rPr>
          <w:b/>
          <w:sz w:val="21"/>
          <w:shd w:fill="D6E4F0" w:val="clear"/>
        </w:rPr>
        <w:t>易错提醒：</w:t>
      </w:r>
    </w:p>
    <w:p>
      <w:pPr>
        <w:spacing w:line="360" w:lineRule="auto" w:after="40"/>
        <w:ind w:firstLine="420"/>
      </w:pPr>
      <w:r>
        <w:t>注意区分FIU的“非正式合作”与“正式协议”并非互斥。非正式合作侧重于日常情报交流的灵活性，而独立签署谅解备忘录（MOU）是这种运作自主权在制度层面的体现——谅解备忘录往往是为了给日常的合作“兜底”或提供框架，而非设置繁琐的前置障碍。教材提到谅解备忘录可补充司法协助条约以简化程序</w:t>
      </w:r>
      <w:r>
        <w:rPr>
          <w:sz w:val="15"/>
          <w:vertAlign w:val="superscript"/>
        </w:rPr>
        <w:t>P233</w:t>
      </w:r>
      <w:r>
        <w:t>，这也说明了这两者是一体两面，目标一致。</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