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(中英对照)</w:t>
      </w:r>
    </w:p>
    <w:p>
      <w:pPr>
        <w:spacing w:line="360" w:lineRule="auto" w:after="160"/>
      </w:pPr>
      <w:r>
        <w:t>一、单项选择题</w:t>
      </w:r>
    </w:p>
    <w:p>
      <w:pPr>
        <w:spacing w:line="360" w:lineRule="auto" w:after="40"/>
      </w:pPr>
      <w:r>
        <w:t>1. 欧盟《第六项反洗钱指令》(6AMLD):</w:t>
      </w:r>
      <w:r>
        <w:br/>
      </w:r>
      <w:r>
        <w:t>The EU's 6th Anti-Money Laundering Directive (6AMLD):</w:t>
      </w:r>
    </w:p>
    <w:p>
      <w:pPr>
        <w:spacing w:line="360" w:lineRule="auto" w:after="20"/>
      </w:pPr>
      <w:r>
        <w:t>A.将反洗钱监管范围扩大至众筹平台和职业足球俱乐部</w:t>
      </w:r>
      <w:r>
        <w:br/>
      </w:r>
      <w:r>
        <w:t>Extended AML oversight to crowdfunding platforms and professional football clubs</w:t>
      </w:r>
    </w:p>
    <w:p>
      <w:pPr>
        <w:spacing w:line="360" w:lineRule="auto" w:after="20"/>
      </w:pPr>
      <w:r>
        <w:t>B.取消了要求欧盟委员会进行风险评估的规定</w:t>
      </w:r>
      <w:r>
        <w:br/>
      </w:r>
      <w:r>
        <w:t>Eliminated the requirement for the European Commission to conduct a risk assessment</w:t>
      </w:r>
    </w:p>
    <w:p>
      <w:pPr>
        <w:spacing w:line="360" w:lineRule="auto" w:after="20"/>
      </w:pPr>
      <w:r>
        <w:t>C.设立了一个欧盟中央监管机构来打击洗钱活动</w:t>
      </w:r>
      <w:r>
        <w:br/>
      </w:r>
      <w:r>
        <w:t>Created a central EU watchdog to combat money laundering</w:t>
      </w:r>
    </w:p>
    <w:p>
      <w:pPr>
        <w:spacing w:line="360" w:lineRule="auto" w:after="20"/>
      </w:pPr>
      <w:r>
        <w:t>D.加强有关提交至中央受益所有权登记册的数据准确性的规定</w:t>
      </w:r>
      <w:r>
        <w:br/>
      </w:r>
      <w:r>
        <w:t>Strengthened provisions relating to the accuracy of data submitted to central beneficial ownership registries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区分欧盟反洗钱立法包内各法规的职能归属（6AMLD与AMLR/AMLA-R）</w:t>
      </w:r>
    </w:p>
    <w:p>
      <w:pPr>
        <w:spacing w:before="120" w:after="40"/>
      </w:pPr>
      <w:r>
        <w:rPr>
          <w:b/>
          <w:sz w:val="21"/>
          <w:shd w:fill="D6E4F0" w:val="clear"/>
        </w:rPr>
        <w:t>核心解析：</w:t>
      </w:r>
    </w:p>
    <w:p>
      <w:pPr>
        <w:spacing w:line="360" w:lineRule="auto" w:after="40"/>
        <w:ind w:firstLine="420"/>
      </w:pPr>
      <w:r>
        <w:t>教材指出，6AMLD要求实施全面的客户尽职调查、维护受益所有权信息中央登记册，并开展国家及超国家层面的风险评估，因此受益所有权中央登记册属于6AMLD规范的事项</w:t>
      </w:r>
      <w:r>
        <w:rPr>
          <w:sz w:val="15"/>
          <w:vertAlign w:val="superscript"/>
        </w:rPr>
        <w:t>P190</w:t>
      </w:r>
      <w:r>
        <w:t>。关于登记数据的具体质量要求，Directive (EU) 2024/1640第10(7)条进一步规定，中央登记册中的受益所有权信息必须</w:t>
      </w:r>
      <w:r>
        <w:rPr>
          <w:b/>
        </w:rPr>
        <w:t>充分、准确并保持最新</w:t>
      </w:r>
      <w:r>
        <w:t>（adequate, accurate and up-to-date），成员国还应建立相应机制，包括提交后的及时核验和此后的定期核验。选项D准确描述了这一强化要求，因此正确。</w:t>
      </w:r>
    </w:p>
    <w:p>
      <w:pPr>
        <w:spacing w:line="360" w:lineRule="auto" w:after="40"/>
        <w:ind w:firstLine="420"/>
      </w:pPr>
      <w:r>
        <w:t>补充法规原文（Directive (EU) 2024/1640, Article 10(7)）："Member States shall ensure that the beneficial ownership information held in the central registers is adequate, accurate and up-to-date, and shall put in place mechanisms to that effect."</w:t>
      </w:r>
    </w:p>
    <w:p>
      <w:pPr>
        <w:spacing w:before="120" w:after="40"/>
      </w:pPr>
      <w:r>
        <w:rPr>
          <w:b/>
          <w:sz w:val="21"/>
          <w:shd w:fill="D6E4F0" w:val="clear"/>
        </w:rPr>
        <w:t>A项错误：</w:t>
      </w:r>
    </w:p>
    <w:p>
      <w:pPr>
        <w:spacing w:line="360" w:lineRule="auto" w:after="40"/>
        <w:ind w:firstLine="420"/>
      </w:pPr>
      <w:r>
        <w:t>教材将职业足球俱乐部、足球经纪人和投资移民运营商纳入义务实体范围的规定归入欧盟反洗钱条例（AMLR），而不是6AMLD</w:t>
      </w:r>
      <w:r>
        <w:rPr>
          <w:sz w:val="15"/>
          <w:vertAlign w:val="superscript"/>
        </w:rPr>
        <w:t>P190</w:t>
      </w:r>
      <w:r>
        <w:t>。选项同时提到的众筹平台也未得到本段6AMLD教材内容支持，因此A错误。</w:t>
      </w:r>
    </w:p>
    <w:p>
      <w:pPr>
        <w:spacing w:before="120" w:after="40"/>
      </w:pPr>
      <w:r>
        <w:rPr>
          <w:b/>
          <w:sz w:val="21"/>
          <w:shd w:fill="D6E4F0" w:val="clear"/>
        </w:rPr>
        <w:t>B项错误：</w:t>
      </w:r>
    </w:p>
    <w:p>
      <w:pPr>
        <w:spacing w:line="360" w:lineRule="auto" w:after="40"/>
        <w:ind w:firstLine="420"/>
      </w:pPr>
      <w:r>
        <w:t>教材指出，6AMLD仍要求在国家和超国家层面开展风险评估</w:t>
      </w:r>
      <w:r>
        <w:rPr>
          <w:sz w:val="15"/>
          <w:vertAlign w:val="superscript"/>
        </w:rPr>
        <w:t>P190</w:t>
      </w:r>
      <w:r>
        <w:t>，因此B项所称“取消风险评估要求”与教材描述的制度方向不符。该段内容足以说明风险评估机制仍然存在，但没有进一步说明具体由哪个欧盟机构实施。</w:t>
      </w:r>
    </w:p>
    <w:p>
      <w:pPr>
        <w:spacing w:before="120" w:after="40"/>
      </w:pPr>
      <w:r>
        <w:rPr>
          <w:b/>
          <w:sz w:val="21"/>
          <w:shd w:fill="D6E4F0" w:val="clear"/>
        </w:rPr>
        <w:t>C项错误：</w:t>
      </w:r>
    </w:p>
    <w:p>
      <w:pPr>
        <w:spacing w:line="360" w:lineRule="auto" w:after="40"/>
        <w:ind w:firstLine="420"/>
      </w:pPr>
      <w:r>
        <w:t>教材明确指出，设立欧盟反洗钱管理局（AMLA）的是AMLA-R（Regulation (EU) 2024/1620），并非6AMLD</w:t>
      </w:r>
      <w:r>
        <w:rPr>
          <w:sz w:val="15"/>
          <w:vertAlign w:val="superscript"/>
        </w:rPr>
        <w:t>P191</w:t>
      </w:r>
      <w:r>
        <w:t>，因此C错误。</w:t>
      </w:r>
    </w:p>
    <w:p>
      <w:pPr>
        <w:spacing w:before="120" w:after="40"/>
      </w:pPr>
      <w:r>
        <w:rPr>
          <w:b/>
          <w:sz w:val="21"/>
          <w:shd w:fill="D6E4F0" w:val="clear"/>
        </w:rPr>
        <w:t>易错提醒：</w:t>
      </w:r>
    </w:p>
    <w:p>
      <w:pPr>
        <w:spacing w:line="360" w:lineRule="auto" w:after="40"/>
        <w:ind w:firstLine="420"/>
      </w:pPr>
      <w:r>
        <w:t>欧盟反洗钱一揽子计划中的文件分工不同：6AMLD在本题相关教材中涉及客户尽职调查、风险评估和受益所有权登记册</w:t>
      </w:r>
      <w:r>
        <w:rPr>
          <w:sz w:val="15"/>
          <w:vertAlign w:val="superscript"/>
        </w:rPr>
        <w:t>P190</w:t>
      </w:r>
      <w:r>
        <w:t>；AMLR扩展义务实体范围</w:t>
      </w:r>
      <w:r>
        <w:rPr>
          <w:sz w:val="15"/>
          <w:vertAlign w:val="superscript"/>
        </w:rPr>
        <w:t>P190</w:t>
      </w:r>
      <w:r>
        <w:t>；AMLA-R负责设立欧盟反洗钱管理局</w:t>
      </w:r>
      <w:r>
        <w:rPr>
          <w:sz w:val="15"/>
          <w:vertAlign w:val="superscript"/>
        </w:rPr>
        <w:t>P191</w:t>
      </w:r>
      <w:r>
        <w:t>。看到“设立AMLA”应对应AMLA-R，看到“扩大义务实体范围”应优先考虑AMLR；本题的登记册数据准确性要求属于6AMLD。</w:t>
      </w:r>
    </w:p>
    <w:p>
      <w:pPr>
        <w:spacing w:line="360" w:lineRule="auto" w:after="120"/>
      </w:pPr>
      <w:r/>
    </w:p>
    <w:p>
      <w:pPr>
        <w:spacing w:line="360" w:lineRule="auto" w:after="40"/>
      </w:pPr>
      <w:r>
        <w:t>2. 以下哪一项是2024年6月欧盟反洗钱一揽子计划的支柱之一？</w:t>
      </w:r>
      <w:r>
        <w:br/>
      </w:r>
      <w:r>
        <w:t>Which of the following is one of the pillars of the EU AML Package adopted in June 2024?</w:t>
      </w:r>
    </w:p>
    <w:p>
      <w:pPr>
        <w:spacing w:line="360" w:lineRule="auto" w:after="20"/>
      </w:pPr>
      <w:r>
        <w:t>A.数字运营韧性法案</w:t>
      </w:r>
      <w:r>
        <w:br/>
      </w:r>
      <w:r>
        <w:t>Digital Operational Resilience Act</w:t>
      </w:r>
    </w:p>
    <w:p>
      <w:pPr>
        <w:spacing w:line="360" w:lineRule="auto" w:after="20"/>
      </w:pPr>
      <w:r>
        <w:t>B.反腐败指令</w:t>
      </w:r>
      <w:r>
        <w:br/>
      </w:r>
      <w:r>
        <w:t>Anti-Corruption Directive</w:t>
      </w:r>
    </w:p>
    <w:p>
      <w:pPr>
        <w:spacing w:line="360" w:lineRule="auto" w:after="20"/>
      </w:pPr>
      <w:r>
        <w:t>C.欧盟反洗钱法规</w:t>
      </w:r>
      <w:r>
        <w:br/>
      </w:r>
      <w:r>
        <w:t>EU AML Regulation</w:t>
      </w:r>
    </w:p>
    <w:p>
      <w:pPr>
        <w:spacing w:line="360" w:lineRule="auto" w:after="20"/>
      </w:pPr>
      <w:r>
        <w:t>D.第七项反洗钱指令</w:t>
      </w:r>
      <w:r>
        <w:br/>
      </w:r>
      <w:r>
        <w:t>7th AML Directive</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识别2024年欧盟反洗钱一揽子计划的组成</w:t>
      </w:r>
    </w:p>
    <w:p>
      <w:pPr>
        <w:spacing w:before="120" w:after="40"/>
      </w:pPr>
      <w:r>
        <w:rPr>
          <w:b/>
          <w:sz w:val="21"/>
          <w:shd w:fill="D6E4F0" w:val="clear"/>
        </w:rPr>
        <w:t>核心解析：</w:t>
      </w:r>
    </w:p>
    <w:p>
      <w:pPr>
        <w:spacing w:line="360" w:lineRule="auto" w:after="40"/>
        <w:ind w:firstLine="420"/>
      </w:pPr>
      <w:r>
        <w:t>2024年欧盟通过的反洗钱立法包被称为</w:t>
      </w:r>
      <w:r>
        <w:rPr>
          <w:b/>
        </w:rPr>
        <w:t>“单一规则手册”</w:t>
      </w:r>
      <w:r>
        <w:t>，其清单包括6AMLD、AMLR、AMLA-R和FTR</w:t>
      </w:r>
      <w:r>
        <w:rPr>
          <w:sz w:val="15"/>
          <w:vertAlign w:val="superscript"/>
        </w:rPr>
        <w:t>P190</w:t>
      </w:r>
      <w:r>
        <w:t>。选项C“欧盟反洗钱法规”对应Regulation (EU) 2024/1624，即</w:t>
      </w:r>
      <w:r>
        <w:rPr>
          <w:b/>
        </w:rPr>
        <w:t>AMLR</w:t>
      </w:r>
      <w:r>
        <w:t>，直接出现在该清单中</w:t>
      </w:r>
      <w:r>
        <w:rPr>
          <w:sz w:val="15"/>
          <w:vertAlign w:val="superscript"/>
        </w:rPr>
        <w:t>P190</w:t>
      </w:r>
      <w:r>
        <w:t>。其余三项均不在清单内：DORA是另行制定的数字运营韧性法规</w:t>
      </w:r>
      <w:r>
        <w:rPr>
          <w:sz w:val="15"/>
          <w:vertAlign w:val="superscript"/>
        </w:rPr>
        <w:t>P210</w:t>
      </w:r>
      <w:r>
        <w:t>，清单中的反洗钱指令是6AMLD而非7AMLD，也没有独立的“反腐败指令”。因此，C是四项中唯一与教材清单直接匹配的选项。</w:t>
      </w:r>
    </w:p>
    <w:p>
      <w:pPr>
        <w:spacing w:before="120" w:after="40"/>
      </w:pPr>
      <w:r>
        <w:rPr>
          <w:b/>
          <w:sz w:val="21"/>
          <w:shd w:fill="D6E4F0" w:val="clear"/>
        </w:rPr>
        <w:t>教材原句：</w:t>
      </w:r>
    </w:p>
    <w:p>
      <w:pPr>
        <w:spacing w:line="360" w:lineRule="auto" w:after="40"/>
        <w:ind w:firstLine="420"/>
      </w:pPr>
      <w:r>
        <w:t>"In 2024, the EU adopted a package of AML legislation known as the “Single Rulebook.” The package consists of Directive (EU) 2024/1640, also called 6AMLD; Regulation (EU) 2024/1624, also called AMLR; Regulation (EU) 2024/1620, also called AMLA-R; and Regulation (EU) 2023/1113, also called FTR."</w:t>
      </w:r>
    </w:p>
    <w:p>
      <w:pPr>
        <w:spacing w:before="120" w:after="40"/>
      </w:pPr>
      <w:r>
        <w:rPr>
          <w:b/>
          <w:sz w:val="21"/>
          <w:shd w:fill="D6E4F0" w:val="clear"/>
        </w:rPr>
        <w:t>A项错误：</w:t>
      </w:r>
    </w:p>
    <w:p>
      <w:pPr>
        <w:spacing w:line="360" w:lineRule="auto" w:after="40"/>
        <w:ind w:firstLine="420"/>
      </w:pPr>
      <w:r>
        <w:t>DORA旨在加强欧盟金融服务业的网络安全</w:t>
      </w:r>
      <w:r>
        <w:rPr>
          <w:sz w:val="15"/>
          <w:vertAlign w:val="superscript"/>
        </w:rPr>
        <w:t>P210</w:t>
      </w:r>
      <w:r>
        <w:t>，但反洗钱一揽子计划清单未列DORA</w:t>
      </w:r>
      <w:r>
        <w:rPr>
          <w:sz w:val="15"/>
          <w:vertAlign w:val="superscript"/>
        </w:rPr>
        <w:t>P190</w:t>
      </w:r>
      <w:r>
        <w:t>。它与欧盟金融监管有关，却不如清单内的AMLR匹配题干。</w:t>
      </w:r>
    </w:p>
    <w:p>
      <w:pPr>
        <w:spacing w:before="120" w:after="40"/>
      </w:pPr>
      <w:r>
        <w:rPr>
          <w:b/>
          <w:sz w:val="21"/>
          <w:shd w:fill="D6E4F0" w:val="clear"/>
        </w:rPr>
        <w:t>B项错误：</w:t>
      </w:r>
    </w:p>
    <w:p>
      <w:pPr>
        <w:spacing w:line="360" w:lineRule="auto" w:after="40"/>
        <w:ind w:firstLine="420"/>
      </w:pPr>
      <w:r>
        <w:t>列出的四项文件中没有独立的“反腐败指令”</w:t>
      </w:r>
      <w:r>
        <w:rPr>
          <w:sz w:val="15"/>
          <w:vertAlign w:val="superscript"/>
        </w:rPr>
        <w:t>P190</w:t>
      </w:r>
      <w:r>
        <w:t>；相比之下，AMLR被逐项列名，C有直接清单依据。</w:t>
      </w:r>
    </w:p>
    <w:p>
      <w:pPr>
        <w:spacing w:before="120" w:after="40"/>
      </w:pPr>
      <w:r>
        <w:rPr>
          <w:b/>
          <w:sz w:val="21"/>
          <w:shd w:fill="D6E4F0" w:val="clear"/>
        </w:rPr>
        <w:t>D项错误：</w:t>
      </w:r>
    </w:p>
    <w:p>
      <w:pPr>
        <w:spacing w:line="360" w:lineRule="auto" w:after="40"/>
        <w:ind w:firstLine="420"/>
      </w:pPr>
      <w:r>
        <w:t>清单中的指令是Directive (EU) 2024/1640，即6AMLD，不是选项所称的7AMLD</w:t>
      </w:r>
      <w:r>
        <w:rPr>
          <w:sz w:val="15"/>
          <w:vertAlign w:val="superscript"/>
        </w:rPr>
        <w:t>P190</w:t>
      </w:r>
      <w:r>
        <w:t>。</w:t>
      </w:r>
    </w:p>
    <w:p>
      <w:pPr>
        <w:spacing w:before="120" w:after="40"/>
      </w:pPr>
      <w:r>
        <w:rPr>
          <w:b/>
          <w:sz w:val="21"/>
          <w:shd w:fill="D6E4F0" w:val="clear"/>
        </w:rPr>
        <w:t>易错提醒：</w:t>
      </w:r>
    </w:p>
    <w:p>
      <w:pPr>
        <w:spacing w:line="360" w:lineRule="auto" w:after="40"/>
        <w:ind w:firstLine="420"/>
      </w:pPr>
      <w:r>
        <w:t>需区分单个欧盟法规与“单一规则手册”这一立法包的关系。判断某文件是否属于该计划，应将名称与列出的6AMLD、AMLR、AMLA-R、FTR逐项比对</w:t>
      </w:r>
      <w:r>
        <w:rPr>
          <w:sz w:val="15"/>
          <w:vertAlign w:val="superscript"/>
        </w:rPr>
        <w:t>P190</w:t>
      </w:r>
      <w:r>
        <w:t>；法规出台时间接近或同属欧盟金融监管，并不等于属于该计划。</w:t>
      </w:r>
    </w:p>
    <w:p>
      <w:pPr>
        <w:spacing w:line="360" w:lineRule="auto" w:after="120"/>
      </w:pPr>
      <w:r/>
    </w:p>
    <w:p>
      <w:pPr>
        <w:spacing w:line="360" w:lineRule="auto" w:after="40"/>
      </w:pPr>
      <w:r>
        <w:t>3. 欧盟反洗钱指令的关键目标是什么？</w:t>
      </w:r>
      <w:r>
        <w:br/>
      </w:r>
      <w:r>
        <w:t>Which is a key goal of the EU's Directives on money laundering?</w:t>
      </w:r>
    </w:p>
    <w:p>
      <w:pPr>
        <w:spacing w:line="360" w:lineRule="auto" w:after="20"/>
      </w:pPr>
      <w:r>
        <w:t>A.加强对欧盟国家支付活动的管控以减少洗钱活动.</w:t>
      </w:r>
      <w:r>
        <w:br/>
      </w:r>
      <w:r>
        <w:t>Address control of payments in EU countries to reduce money laundering.</w:t>
      </w:r>
    </w:p>
    <w:p>
      <w:pPr>
        <w:spacing w:line="360" w:lineRule="auto" w:after="20"/>
      </w:pPr>
      <w:r>
        <w:t>B.在欧盟范围内建立一个由金融机构共同协作以防范洗钱活动的网络.</w:t>
      </w:r>
      <w:r>
        <w:br/>
      </w:r>
      <w:r>
        <w:t>Build a network of financial institutions that work together to prevent money laundering across the EU.</w:t>
      </w:r>
    </w:p>
    <w:p>
      <w:pPr>
        <w:spacing w:line="360" w:lineRule="auto" w:after="20"/>
      </w:pPr>
      <w:r>
        <w:t>C.在整个欧盟建立一致的监管环境以防止洗钱.</w:t>
      </w:r>
      <w:r>
        <w:br/>
      </w:r>
      <w:r>
        <w:t>Establish a consistent regulatory environment across the EU to prevent money laundering.</w:t>
      </w:r>
    </w:p>
    <w:p>
      <w:pPr>
        <w:spacing w:line="360" w:lineRule="auto" w:after="20"/>
      </w:pPr>
      <w:r>
        <w:t>D.允许各成员国在欧盟金融情报机构的协助下讨论该立法草案.</w:t>
      </w:r>
      <w:r>
        <w:br/>
      </w:r>
      <w:r>
        <w:t>Allow member states to discuss the draft legislation with the cooperation of the EU financial intelligence units.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欧盟反洗钱指令的核心目标是统一各成员国的监管标准与协调机制</w:t>
      </w:r>
    </w:p>
    <w:p>
      <w:pPr>
        <w:spacing w:before="120" w:after="40"/>
      </w:pPr>
      <w:r>
        <w:rPr>
          <w:b/>
          <w:sz w:val="21"/>
          <w:shd w:fill="D6E4F0" w:val="clear"/>
        </w:rPr>
        <w:t>核心解析：</w:t>
      </w:r>
    </w:p>
    <w:p>
      <w:pPr>
        <w:spacing w:line="360" w:lineRule="auto" w:after="40"/>
        <w:ind w:firstLine="420"/>
      </w:pPr>
      <w:r>
        <w:t>2021年前，欧盟反洗钱制度由一系列需由成员国实施的指令组成；由于</w:t>
      </w:r>
      <w:r>
        <w:rPr>
          <w:b/>
        </w:rPr>
        <w:t>各成员国未能在全欧盟一致适用规则，监管和执法出现碎片化</w:t>
      </w:r>
      <w:r>
        <w:rPr>
          <w:sz w:val="15"/>
          <w:vertAlign w:val="superscript"/>
        </w:rPr>
        <w:t>P191</w:t>
      </w:r>
      <w:r>
        <w:t>。此后建立的</w:t>
      </w:r>
      <w:r>
        <w:rPr>
          <w:b/>
        </w:rPr>
        <w:t>欧盟反洗钱管理局负责促进规则统一实施，并协调反洗钱和金融监管机构</w:t>
      </w:r>
      <w:r>
        <w:rPr>
          <w:sz w:val="15"/>
          <w:vertAlign w:val="superscript"/>
        </w:rPr>
        <w:t>P191</w:t>
      </w:r>
      <w:r>
        <w:t>。因此，欧盟反洗钱制度的重要目标是</w:t>
      </w:r>
      <w:r>
        <w:rPr>
          <w:b/>
        </w:rPr>
        <w:t>减少成员国之间的规则与执行差异，建立更一致的监管环境</w:t>
      </w:r>
      <w:r>
        <w:t>，C最符合题意。</w:t>
      </w:r>
    </w:p>
    <w:p>
      <w:pPr>
        <w:spacing w:before="120" w:after="40"/>
      </w:pPr>
      <w:r>
        <w:rPr>
          <w:b/>
          <w:sz w:val="21"/>
          <w:shd w:fill="D6E4F0" w:val="clear"/>
        </w:rPr>
        <w:t>教材原句：</w:t>
      </w:r>
    </w:p>
    <w:p>
      <w:pPr>
        <w:spacing w:line="360" w:lineRule="auto" w:after="40"/>
        <w:ind w:firstLine="420"/>
      </w:pPr>
      <w:r>
        <w:t>"Because the members states did not apply the rules in a coherent manner across the EU, the AML regime faced fragmentation in supervision and enforcement."</w:t>
      </w:r>
      <w:r>
        <w:rPr>
          <w:sz w:val="15"/>
          <w:vertAlign w:val="superscript"/>
        </w:rPr>
        <w:t>P191</w:t>
      </w:r>
    </w:p>
    <w:p>
      <w:pPr>
        <w:spacing w:before="120" w:after="40"/>
      </w:pPr>
      <w:r>
        <w:rPr>
          <w:b/>
          <w:sz w:val="21"/>
          <w:shd w:fill="D6E4F0" w:val="clear"/>
        </w:rPr>
        <w:t>A项错误：</w:t>
      </w:r>
    </w:p>
    <w:p>
      <w:pPr>
        <w:spacing w:line="360" w:lineRule="auto" w:after="40"/>
        <w:ind w:firstLine="420"/>
      </w:pPr>
      <w:r>
        <w:t>A项只描述一种具体支付管控，没有回应教材所揭示的成员国规则适用不一致和监管碎片化问题</w:t>
      </w:r>
      <w:r>
        <w:rPr>
          <w:sz w:val="15"/>
          <w:vertAlign w:val="superscript"/>
        </w:rPr>
        <w:t>P191</w:t>
      </w:r>
      <w:r>
        <w:t>，与题干所问全欧盟层面的关键目标不匹配。</w:t>
      </w:r>
    </w:p>
    <w:p>
      <w:pPr>
        <w:spacing w:before="120" w:after="40"/>
      </w:pPr>
      <w:r>
        <w:rPr>
          <w:b/>
          <w:sz w:val="21"/>
          <w:shd w:fill="D6E4F0" w:val="clear"/>
        </w:rPr>
        <w:t>B项错误：</w:t>
      </w:r>
    </w:p>
    <w:p>
      <w:pPr>
        <w:spacing w:line="360" w:lineRule="auto" w:after="40"/>
        <w:ind w:firstLine="420"/>
      </w:pPr>
      <w:r>
        <w:t>B项把重点放在金融机构之间的协作网络，而教材讨论的是成员国实施规则的一致性及监管、执法协调</w:t>
      </w:r>
      <w:r>
        <w:rPr>
          <w:sz w:val="15"/>
          <w:vertAlign w:val="superscript"/>
        </w:rPr>
        <w:t>P191</w:t>
      </w:r>
      <w:r>
        <w:t>，主体和治理层级均不同。</w:t>
      </w:r>
    </w:p>
    <w:p>
      <w:pPr>
        <w:spacing w:before="120" w:after="40"/>
      </w:pPr>
      <w:r>
        <w:rPr>
          <w:b/>
          <w:sz w:val="21"/>
          <w:shd w:fill="D6E4F0" w:val="clear"/>
        </w:rPr>
        <w:t>D项错误：</w:t>
      </w:r>
    </w:p>
    <w:p>
      <w:pPr>
        <w:spacing w:line="360" w:lineRule="auto" w:after="40"/>
        <w:ind w:firstLine="420"/>
      </w:pPr>
      <w:r>
        <w:t>D项描述成员国讨论立法草案，属于立法讨论情形；教材强调的是规则实施、监管和执法的一致性</w:t>
      </w:r>
      <w:r>
        <w:rPr>
          <w:sz w:val="15"/>
          <w:vertAlign w:val="superscript"/>
        </w:rPr>
        <w:t>P191</w:t>
      </w:r>
      <w:r>
        <w:t>，C项与该结果层目标更直接对应。</w:t>
      </w:r>
    </w:p>
    <w:p>
      <w:pPr>
        <w:spacing w:before="120" w:after="40"/>
      </w:pPr>
      <w:r>
        <w:rPr>
          <w:b/>
          <w:sz w:val="21"/>
          <w:shd w:fill="D6E4F0" w:val="clear"/>
        </w:rPr>
        <w:t>易错提醒：</w:t>
      </w:r>
    </w:p>
    <w:p>
      <w:pPr>
        <w:spacing w:line="360" w:lineRule="auto" w:after="40"/>
        <w:ind w:firstLine="420"/>
      </w:pPr>
      <w:r>
        <w:t>不要把</w:t>
      </w:r>
      <w:r>
        <w:rPr>
          <w:b/>
        </w:rPr>
        <w:t>欧盟反洗钱指令、后续AMLR法规和欧盟反洗钱管理局</w:t>
      </w:r>
      <w:r>
        <w:t>视为同一法律工具。本题可用教材对旧指令实施碎片化的批评，以及后续统一实施机制的设置</w:t>
      </w:r>
      <w:r>
        <w:rPr>
          <w:sz w:val="15"/>
          <w:vertAlign w:val="superscript"/>
        </w:rPr>
        <w:t>P191</w:t>
      </w:r>
      <w:r>
        <w:t>，判断其共同指向的一致监管目标。</w:t>
      </w:r>
    </w:p>
    <w:p>
      <w:pPr>
        <w:spacing w:line="360" w:lineRule="auto" w:after="120"/>
      </w:pPr>
      <w:r/>
    </w:p>
    <w:p>
      <w:pPr>
        <w:spacing w:line="360" w:lineRule="auto" w:after="40"/>
      </w:pPr>
      <w:r>
        <w:t>4. 虚拟资产服务提供商(VASP)的一名合规经理正在评估其业务及其对反洗钱政策的影响.以下VASP业务的哪些特征会是最令人担忧的？(选择四项.)</w:t>
      </w:r>
      <w:r>
        <w:br/>
      </w:r>
      <w:r>
        <w:t>A compliance manager at a virtual asset service provider (VASP) is evaluating its business and its impact on AML policies. Which of the following features of the VASP's business would be of greatest concern? (Select Four.)</w:t>
      </w:r>
    </w:p>
    <w:p>
      <w:pPr>
        <w:spacing w:line="360" w:lineRule="auto" w:after="20"/>
      </w:pPr>
      <w:r>
        <w:t>A.允许客户交易增强匿名性的代币</w:t>
      </w:r>
      <w:r>
        <w:br/>
      </w:r>
      <w:r>
        <w:t>Allowing clients to transact in anonymity-enhanced tokens</w:t>
      </w:r>
    </w:p>
    <w:p>
      <w:pPr>
        <w:spacing w:line="360" w:lineRule="auto" w:after="20"/>
      </w:pPr>
      <w:r>
        <w:t>B.对境外居民客户的开户服务,包括具有政治公众人物(PEP)身份的客户</w:t>
      </w:r>
      <w:r>
        <w:br/>
      </w:r>
      <w:r>
        <w:t>Onboarding clients who are residents abroad, including those with politically exposed person (PEP) status</w:t>
      </w:r>
    </w:p>
    <w:p>
      <w:pPr>
        <w:spacing w:line="360" w:lineRule="auto" w:after="20"/>
      </w:pPr>
      <w:r>
        <w:t>C.实现代币在不同区块链之间的转移</w:t>
      </w:r>
      <w:r>
        <w:br/>
      </w:r>
      <w:r>
        <w:t>Enabling transfer of tokens from one blockchain to another</w:t>
      </w:r>
    </w:p>
    <w:p>
      <w:pPr>
        <w:spacing w:line="360" w:lineRule="auto" w:after="20"/>
      </w:pPr>
      <w:r>
        <w:t>D.向在未遵守金融行动特别工作组(FATF)规定的司法管辖区设立的虚拟资产服务提供商(VASP)提供服务</w:t>
      </w:r>
      <w:r>
        <w:br/>
      </w:r>
      <w:r>
        <w:t>Offering services to VASPs established in jurisdictions that are not FATF compliant</w:t>
      </w:r>
    </w:p>
    <w:p>
      <w:pPr>
        <w:spacing w:line="360" w:lineRule="auto" w:after="20"/>
      </w:pPr>
      <w:r>
        <w:t>E.运营收取高额费用的加密货币自动取款机网络</w:t>
      </w:r>
      <w:r>
        <w:br/>
      </w:r>
      <w:r>
        <w:t>Operating a network of crypto ATMs that charge high fees</w:t>
      </w:r>
    </w:p>
    <w:p>
      <w:pPr>
        <w:spacing w:line="360" w:lineRule="auto" w:after="20"/>
      </w:pPr>
      <w:r>
        <w:t>F.缺乏足够的IP地址追踪能力</w:t>
      </w:r>
      <w:r>
        <w:br/>
      </w:r>
      <w:r>
        <w:t>Lacking sufficient IP address tracking capability</w:t>
      </w:r>
    </w:p>
    <w:p>
      <w:pPr>
        <w:spacing w:line="360" w:lineRule="auto" w:after="40"/>
      </w:pPr>
      <w:r>
        <w:t>答案:A、B、D、F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 xml:space="preserve">识别 VASP 业务中最需关切的 </w:t>
      </w:r>
      <w:r>
        <w:rPr>
          <w:b/>
        </w:rPr>
        <w:t>AML 风险特征</w:t>
      </w:r>
    </w:p>
    <w:p>
      <w:pPr>
        <w:spacing w:before="120" w:after="40"/>
      </w:pPr>
      <w:r>
        <w:rPr>
          <w:b/>
          <w:sz w:val="21"/>
          <w:shd w:fill="D6E4F0" w:val="clear"/>
        </w:rPr>
        <w:t>核心解析：</w:t>
      </w:r>
    </w:p>
    <w:p>
      <w:pPr>
        <w:spacing w:line="360" w:lineRule="auto" w:after="40"/>
        <w:ind w:firstLine="420"/>
      </w:pPr>
      <w:r>
        <w:t>本题要求找出 VASP 业务中最令人担忧的 AML 风险特征。判断规则是：该特征若直接对应教材中明确指出的</w:t>
      </w:r>
      <w:r>
        <w:rPr>
          <w:b/>
        </w:rPr>
        <w:t>高风险信号或监管红线</w:t>
      </w:r>
      <w:r>
        <w:t>，即为高度关切项。选项 A“允许客户交易增强匿名性的代币”直接命中教材红线——VASP 应拒绝具有内置匿名功能的加密资产上市，除非能识别持有人及交易历史</w:t>
      </w:r>
      <w:r>
        <w:rPr>
          <w:sz w:val="15"/>
          <w:vertAlign w:val="superscript"/>
        </w:rPr>
        <w:t>P193</w:t>
      </w:r>
      <w:r>
        <w:t>，而“增强匿名性的代币”正是该规则规制的对象。选项 B“对境外居民客户的开户服务，包括具有政治公众人物（PEP）身份的客户”包含 PEP，教材明确 PEP 增加贿赂与腐败风险</w:t>
      </w:r>
      <w:r>
        <w:rPr>
          <w:sz w:val="15"/>
          <w:vertAlign w:val="superscript"/>
        </w:rPr>
        <w:t>P72</w:t>
      </w:r>
      <w:r>
        <w:t>，且向境外居民开户可能涉及跨境合规挑战，两项叠加构成严重关切。选项 D“向在未遵守 FATF 规定的司法管辖区设立的 VASP 提供服务”中，筛查重点就是识别监管框架外的 VASP</w:t>
      </w:r>
      <w:r>
        <w:rPr>
          <w:sz w:val="15"/>
          <w:vertAlign w:val="superscript"/>
        </w:rPr>
        <w:t>P434</w:t>
      </w:r>
      <w:r>
        <w:t>，与不合规辖区的 VASP 打交道直接触及这一风险重点。选项 F“缺乏足够的 IP 地址追踪能力”让 VASP 无力识别客户是否隐藏身份或位置，而客户使用 VPN 等工具隐藏身份本身就是洗钱风险信号</w:t>
      </w:r>
      <w:r>
        <w:rPr>
          <w:sz w:val="15"/>
          <w:vertAlign w:val="superscript"/>
        </w:rPr>
        <w:t>P99</w:t>
      </w:r>
      <w:r>
        <w:t>，缺乏追踪能力意味着该风险信号完全失控。以上四项均在教材中找到对应的高风险定义或明确禁止性规定，因此是最令人担忧的特征。</w:t>
      </w:r>
    </w:p>
    <w:p>
      <w:pPr>
        <w:spacing w:before="120" w:after="40"/>
      </w:pPr>
      <w:r>
        <w:rPr>
          <w:b/>
          <w:sz w:val="21"/>
          <w:shd w:fill="D6E4F0" w:val="clear"/>
        </w:rPr>
        <w:t>教材原句：</w:t>
      </w:r>
    </w:p>
    <w:p>
      <w:pPr>
        <w:spacing w:line="360" w:lineRule="auto" w:after="40"/>
        <w:ind w:firstLine="420"/>
      </w:pPr>
      <w:r>
        <w:t>"VASPs should reject admission to trading cryptoassets with inbuilt anonymization functions unless they can identify the token holders and their transaction history."</w:t>
      </w:r>
    </w:p>
    <w:p>
      <w:pPr>
        <w:spacing w:before="120" w:after="40"/>
      </w:pPr>
      <w:r>
        <w:rPr>
          <w:b/>
          <w:sz w:val="21"/>
          <w:shd w:fill="D6E4F0" w:val="clear"/>
        </w:rPr>
        <w:t>C项错误：</w:t>
      </w:r>
    </w:p>
    <w:p>
      <w:pPr>
        <w:spacing w:line="360" w:lineRule="auto" w:after="40"/>
        <w:ind w:firstLine="420"/>
      </w:pPr>
      <w:r>
        <w:t>“实现代币在不同区块链之间的转移”是跨链桥或互操作协议的常见功能，教材在介绍代币时提到其可跨境交易</w:t>
      </w:r>
      <w:r>
        <w:rPr>
          <w:sz w:val="15"/>
          <w:vertAlign w:val="superscript"/>
        </w:rPr>
        <w:t>P109</w:t>
      </w:r>
      <w:r>
        <w:t>，但将此功能本身列为令人担忧的特征，不如选项 D 中向不合规辖区的 VASP 提供服务更直接——后者明确指向监管框架外的实体，而跨链转移更多是技术中性的底层功能。</w:t>
      </w:r>
    </w:p>
    <w:p>
      <w:pPr>
        <w:spacing w:before="120" w:after="40"/>
      </w:pPr>
      <w:r>
        <w:rPr>
          <w:b/>
          <w:sz w:val="21"/>
          <w:shd w:fill="D6E4F0" w:val="clear"/>
        </w:rPr>
        <w:t>E项错误：</w:t>
      </w:r>
    </w:p>
    <w:p>
      <w:pPr>
        <w:spacing w:line="360" w:lineRule="auto" w:after="40"/>
        <w:ind w:firstLine="420"/>
      </w:pPr>
      <w:r>
        <w:t>教材将加密货币 ATM 描述为加密资产生态系统中的接入和基础设施提供商</w:t>
      </w:r>
      <w:r>
        <w:rPr>
          <w:sz w:val="15"/>
          <w:vertAlign w:val="superscript"/>
        </w:rPr>
        <w:t>P109</w:t>
      </w:r>
      <w:r>
        <w:t>，未将“收取高额费用”作为风险信号；而选项 B 中 PEP 客户的身份直接对应教材列出的贿赂与腐败风险</w:t>
      </w:r>
      <w:r>
        <w:rPr>
          <w:sz w:val="15"/>
          <w:vertAlign w:val="superscript"/>
        </w:rPr>
        <w:t>P72</w:t>
      </w:r>
      <w:r>
        <w:t>，“高额费用”相比“PEP 身份”在教材中的风险定位更弱。</w:t>
      </w:r>
    </w:p>
    <w:p>
      <w:pPr>
        <w:spacing w:before="120" w:after="40"/>
      </w:pPr>
      <w:r>
        <w:rPr>
          <w:b/>
          <w:sz w:val="21"/>
          <w:shd w:fill="D6E4F0" w:val="clear"/>
        </w:rPr>
        <w:t>易错提醒：</w:t>
      </w:r>
    </w:p>
    <w:p>
      <w:pPr>
        <w:spacing w:line="360" w:lineRule="auto" w:after="40"/>
        <w:ind w:firstLine="420"/>
      </w:pPr>
      <w:r>
        <w:rPr>
          <w:b/>
        </w:rPr>
        <w:t>“运营加密货币 ATM”</w:t>
      </w:r>
      <w:r>
        <w:t>和</w:t>
      </w:r>
      <w:r>
        <w:rPr>
          <w:b/>
        </w:rPr>
        <w:t>“收取高额费用”</w:t>
      </w:r>
      <w:r>
        <w:t>本身不是教材定义的风险，容易误以为费用越高风险越大，但教材只看交易行为是否异常、客户是否匿名等。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