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(中英对照)</w:t>
      </w:r>
    </w:p>
    <w:p>
      <w:pPr>
        <w:spacing w:line="360" w:lineRule="auto" w:after="160"/>
      </w:pPr>
      <w:r>
        <w:t>一、单项选择题</w:t>
      </w:r>
    </w:p>
    <w:p>
      <w:pPr>
        <w:spacing w:line="360" w:lineRule="auto" w:after="40"/>
      </w:pPr>
      <w:r>
        <w:t>1. 在外国司法管辖区(与总部所在司法管辖区不同)开展业务时评估和管理洗钱风险,有效的反洗钱监测计划应当:</w:t>
      </w:r>
      <w:r>
        <w:br/>
      </w:r>
      <w:r>
        <w:t>When assessing and managing money laundering risks while operating in foreign jurisdictions different from that of the head office, an effective AML monitoring program should:</w:t>
      </w:r>
    </w:p>
    <w:p>
      <w:pPr>
        <w:spacing w:line="360" w:lineRule="auto" w:after="20"/>
      </w:pPr>
      <w:r>
        <w:t>A.与总部审计保持一致</w:t>
      </w:r>
      <w:r>
        <w:br/>
      </w:r>
      <w:r>
        <w:t>Be consistent with the head office audits</w:t>
      </w:r>
    </w:p>
    <w:p>
      <w:pPr>
        <w:spacing w:line="360" w:lineRule="auto" w:after="20"/>
      </w:pPr>
      <w:r>
        <w:t>B.应根据两个司法管辖区中较高的标准进行调整.</w:t>
      </w:r>
      <w:r>
        <w:br/>
      </w:r>
      <w:r>
        <w:t>Be tailored to the higher of the standards between the jurisdictions</w:t>
      </w:r>
    </w:p>
    <w:p>
      <w:pPr>
        <w:spacing w:line="360" w:lineRule="auto" w:after="20"/>
      </w:pPr>
      <w:r>
        <w:t>C.遵守外国司法管辖区的政策,以与总部政策保持一致.</w:t>
      </w:r>
      <w:r>
        <w:br/>
      </w:r>
      <w:r>
        <w:t>Conform to the foreign jurisdiction policies to align with the head office policies</w:t>
      </w:r>
    </w:p>
    <w:p>
      <w:pPr>
        <w:spacing w:line="360" w:lineRule="auto" w:after="20"/>
      </w:pPr>
      <w:r>
        <w:t>D.将所有外国司法管辖区的报告提交总部审批.</w:t>
      </w:r>
      <w:r>
        <w:br/>
      </w:r>
      <w:r>
        <w:t>Provide all foreign jurisdiction reports to the head office for approval</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跨国经营时反洗钱标准的“孰高”原则</w:t>
      </w:r>
    </w:p>
    <w:p>
      <w:pPr>
        <w:spacing w:before="120" w:after="40"/>
      </w:pPr>
      <w:r>
        <w:rPr>
          <w:b/>
          <w:sz w:val="21"/>
          <w:shd w:fill="D6E4F0" w:val="clear"/>
        </w:rPr>
        <w:t>核心解析：</w:t>
      </w:r>
    </w:p>
    <w:p>
      <w:pPr>
        <w:spacing w:line="360" w:lineRule="auto" w:after="40"/>
        <w:ind w:firstLine="420"/>
      </w:pPr>
      <w:r>
        <w:t>跨国金融机构在母国以外的司法管辖区运营时，不同辖区的反洗钱标准可能存在差异。教材规定，若</w:t>
      </w:r>
      <w:r>
        <w:rPr>
          <w:b/>
        </w:rPr>
        <w:t>当地反洗钱标准高于母国</w:t>
      </w:r>
      <w:r>
        <w:t>，金融机构应在附录中采纳并记录该更高标准</w:t>
      </w:r>
      <w:r>
        <w:rPr>
          <w:sz w:val="15"/>
          <w:vertAlign w:val="superscript"/>
        </w:rPr>
        <w:t>P194</w:t>
      </w:r>
      <w:r>
        <w:t>；同时，为确保全球一致性，跨国组织可能需要在部分辖区实施更高标准</w:t>
      </w:r>
      <w:r>
        <w:rPr>
          <w:sz w:val="15"/>
          <w:vertAlign w:val="superscript"/>
        </w:rPr>
        <w:t>P292</w:t>
      </w:r>
      <w:r>
        <w:t>。题干核心是评估和管理外国司法管辖区的洗钱风险，有效的监测计划应如何处理两地标准。按照上述原则，当两套标准不一致时，直接适用两者中较高的标准最能同时满足两地合规要求，既不低于本地标准，也维持了全球反洗钱原则。因此，有效的监测计划应当遵循</w:t>
      </w:r>
      <w:r>
        <w:rPr>
          <w:b/>
        </w:rPr>
        <w:t>“孰高”原则</w:t>
      </w:r>
      <w:r>
        <w:t>，对应选项B。</w:t>
      </w:r>
    </w:p>
    <w:p>
      <w:pPr>
        <w:spacing w:before="120" w:after="40"/>
      </w:pPr>
      <w:r>
        <w:rPr>
          <w:b/>
          <w:sz w:val="21"/>
          <w:shd w:fill="D6E4F0" w:val="clear"/>
        </w:rPr>
        <w:t>教材原句：</w:t>
      </w:r>
    </w:p>
    <w:p>
      <w:pPr>
        <w:spacing w:line="360" w:lineRule="auto" w:after="40"/>
        <w:ind w:firstLine="420"/>
      </w:pPr>
      <w:r>
        <w:t>"If a jurisdiction in which a financial institution operates has a higher AML standard than its home jurisdiction, the financial institution should document this in the addendum."</w:t>
      </w:r>
    </w:p>
    <w:p>
      <w:pPr>
        <w:spacing w:before="120" w:after="40"/>
      </w:pPr>
      <w:r>
        <w:rPr>
          <w:b/>
          <w:sz w:val="21"/>
          <w:shd w:fill="D6E4F0" w:val="clear"/>
        </w:rPr>
        <w:t>A项错误：</w:t>
      </w:r>
    </w:p>
    <w:p>
      <w:pPr>
        <w:spacing w:line="360" w:lineRule="auto" w:after="40"/>
        <w:ind w:firstLine="420"/>
      </w:pPr>
      <w:r>
        <w:t>教材强调内部审计沟通有助于统一审查范围</w:t>
      </w:r>
      <w:r>
        <w:rPr>
          <w:sz w:val="15"/>
          <w:vertAlign w:val="superscript"/>
        </w:rPr>
        <w:t>P258</w:t>
      </w:r>
      <w:r>
        <w:t>，但审计聚焦事后有效性测试，并非设计监测计划的直接标准。题干讨论的是外国辖区日常监测计划应遵循何种准则，与审计保持一致不如直接采纳较高监管标准更贴合教材的合规框架。</w:t>
      </w:r>
    </w:p>
    <w:p>
      <w:pPr>
        <w:spacing w:before="120" w:after="40"/>
      </w:pPr>
      <w:r>
        <w:rPr>
          <w:b/>
          <w:sz w:val="21"/>
          <w:shd w:fill="D6E4F0" w:val="clear"/>
        </w:rPr>
        <w:t>C项错误：“遵守外国辖区政策以与总部政策保持一致”在逻辑上难以成立：</w:t>
      </w:r>
    </w:p>
    <w:p>
      <w:pPr>
        <w:spacing w:line="360" w:lineRule="auto" w:after="40"/>
        <w:ind w:firstLine="420"/>
      </w:pPr>
      <w:r>
        <w:t>若外国标准低于总部，遵守外国政策反而会导致与总部政策脱节。教材真正支持的是当标准冲突时，采纳两者中更高者，而非让外国辖区单方面向总部看齐。因此该选项与教材原则的匹配度低于B。</w:t>
      </w:r>
    </w:p>
    <w:p>
      <w:pPr>
        <w:spacing w:before="120" w:after="40"/>
      </w:pPr>
      <w:r>
        <w:rPr>
          <w:b/>
          <w:sz w:val="21"/>
          <w:shd w:fill="D6E4F0" w:val="clear"/>
        </w:rPr>
        <w:t>D项错误：</w:t>
      </w:r>
    </w:p>
    <w:p>
      <w:pPr>
        <w:spacing w:line="360" w:lineRule="auto" w:after="40"/>
        <w:ind w:firstLine="420"/>
      </w:pPr>
      <w:r>
        <w:t>教材提到各辖区有独立的报告规则和截止日期</w:t>
      </w:r>
      <w:r>
        <w:rPr>
          <w:sz w:val="15"/>
          <w:vertAlign w:val="superscript"/>
        </w:rPr>
        <w:t>P297</w:t>
      </w:r>
      <w:r>
        <w:t>，内部信息共享也是成功要素</w:t>
      </w:r>
      <w:r>
        <w:rPr>
          <w:sz w:val="15"/>
          <w:vertAlign w:val="superscript"/>
        </w:rPr>
        <w:t>P194</w:t>
      </w:r>
      <w:r>
        <w:t>，但并未要求所有报告都须经总部审批。过度集中的审批流程与教材提倡的“全球政策与当地附录之间的平衡方法”不符，其指导性弱于直接适用较高标准的原则。</w:t>
      </w:r>
    </w:p>
    <w:p>
      <w:pPr>
        <w:spacing w:line="360" w:lineRule="auto" w:after="120"/>
      </w:pPr>
      <w:r/>
    </w:p>
    <w:p>
      <w:pPr>
        <w:spacing w:line="360" w:lineRule="auto" w:after="40"/>
      </w:pPr>
      <w:r>
        <w:t>2. 金融机构在遵守制裁要求时应采取哪一个步骤？</w:t>
      </w:r>
      <w:r>
        <w:br/>
      </w:r>
      <w:r>
        <w:t>Which step should financial institutions take when complying with sanctions requirements?</w:t>
      </w:r>
    </w:p>
    <w:p>
      <w:pPr>
        <w:spacing w:line="360" w:lineRule="auto" w:after="20"/>
      </w:pPr>
      <w:r>
        <w:t>A.若现有客户成为受制裁实体，则将其风险等级变更为高风险并继续对其后续交易进行监控</w:t>
      </w:r>
      <w:r>
        <w:br/>
      </w:r>
      <w:r>
        <w:t>Change the risk profile to high-risk if an existing customer becomes a sanctioned entity and continue monitoring further transactions</w:t>
      </w:r>
    </w:p>
    <w:p>
      <w:pPr>
        <w:spacing w:line="360" w:lineRule="auto" w:after="20"/>
      </w:pPr>
      <w:r>
        <w:t>B.采用自动筛查系统来识别指定人员和实体</w:t>
      </w:r>
      <w:r>
        <w:br/>
      </w:r>
      <w:r>
        <w:t>Adopt automatic screening systems to detect designated persons and entities</w:t>
      </w:r>
    </w:p>
    <w:p>
      <w:pPr>
        <w:spacing w:line="360" w:lineRule="auto" w:after="20"/>
      </w:pPr>
      <w:r>
        <w:t>C.对制裁名单上的禁止实体开展强化尽职调查</w:t>
      </w:r>
      <w:r>
        <w:br/>
      </w:r>
      <w:r>
        <w:t>Conduct enhanced due diligence for prohibited entities on the sanctions list</w:t>
      </w:r>
    </w:p>
    <w:p>
      <w:pPr>
        <w:spacing w:line="360" w:lineRule="auto" w:after="20"/>
      </w:pPr>
      <w:r>
        <w:t>D.本决定经董事会批准后，冻结指定个人和实体的资金或资产</w:t>
      </w:r>
      <w:r>
        <w:br/>
      </w:r>
      <w:r>
        <w:t>Freeze the funds or assets of designated persons and entities once this decision is approved by the board</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制裁合规的核心步骤：以自动筛查系统落实名单筛查义务</w:t>
      </w:r>
    </w:p>
    <w:p>
      <w:pPr>
        <w:spacing w:before="120" w:after="40"/>
      </w:pPr>
      <w:r>
        <w:rPr>
          <w:b/>
          <w:sz w:val="21"/>
          <w:shd w:fill="D6E4F0" w:val="clear"/>
        </w:rPr>
        <w:t>核心解析：</w:t>
      </w:r>
    </w:p>
    <w:p>
      <w:pPr>
        <w:spacing w:line="360" w:lineRule="auto" w:after="40"/>
        <w:ind w:firstLine="420"/>
      </w:pPr>
      <w:r>
        <w:t>制裁合规要求金融机构建立有效的筛查机制来识别受制裁对象。教材要求金融机构实施</w:t>
      </w:r>
      <w:r>
        <w:rPr>
          <w:b/>
        </w:rPr>
        <w:t>制裁筛查</w:t>
      </w:r>
      <w:r>
        <w:rPr>
          <w:sz w:val="15"/>
          <w:vertAlign w:val="superscript"/>
        </w:rPr>
        <w:t>P203</w:t>
      </w:r>
      <w:r>
        <w:t>、筛查交易以检测制裁风险</w:t>
      </w:r>
      <w:r>
        <w:rPr>
          <w:sz w:val="15"/>
          <w:vertAlign w:val="superscript"/>
        </w:rPr>
        <w:t>P306</w:t>
      </w:r>
      <w:r>
        <w:t>，并合理规划筛查对象、所用名单及名单管理测试</w:t>
      </w:r>
      <w:r>
        <w:rPr>
          <w:sz w:val="15"/>
          <w:vertAlign w:val="superscript"/>
        </w:rPr>
        <w:t>P419</w:t>
      </w:r>
      <w:r>
        <w:t>。在给定选项中，B项所述系统能够服务于</w:t>
      </w:r>
      <w:r>
        <w:rPr>
          <w:b/>
        </w:rPr>
        <w:t>指定人员和实体的识别</w:t>
      </w:r>
      <w:r>
        <w:t>，最直接对应上述筛查要求。教材强调的是筛查机制及其有效性，并未据此规定所有机构都必须采用特定形式的自动化系统，也未将其明确界定为任何情形下固定的第一步；因此，B项是相对于其他选项更符合题意的做法。</w:t>
      </w:r>
    </w:p>
    <w:p>
      <w:pPr>
        <w:spacing w:before="120" w:after="40"/>
      </w:pPr>
      <w:r>
        <w:rPr>
          <w:b/>
          <w:sz w:val="21"/>
          <w:shd w:fill="D6E4F0" w:val="clear"/>
        </w:rPr>
        <w:t>教材原句：</w:t>
      </w:r>
    </w:p>
    <w:p>
      <w:pPr>
        <w:spacing w:line="360" w:lineRule="auto" w:after="40"/>
        <w:ind w:firstLine="420"/>
      </w:pPr>
      <w:r>
        <w:t>"Financial institutions and DNFBPs must implement sanctions screening programs in line with UN, UAE, and FATF sanctions lists."</w:t>
      </w:r>
    </w:p>
    <w:p>
      <w:pPr>
        <w:spacing w:before="120" w:after="40"/>
      </w:pPr>
      <w:r>
        <w:rPr>
          <w:b/>
          <w:sz w:val="21"/>
          <w:shd w:fill="D6E4F0" w:val="clear"/>
        </w:rPr>
        <w:t>A项错误：</w:t>
      </w:r>
    </w:p>
    <w:p>
      <w:pPr>
        <w:spacing w:line="360" w:lineRule="auto" w:after="40"/>
        <w:ind w:firstLine="420"/>
      </w:pPr>
      <w:r>
        <w:t>教材在制裁语境下指出，制裁违规将上报监管机构，且相关客户通常会被终止关系（offboarded）</w:t>
      </w:r>
      <w:r>
        <w:rPr>
          <w:sz w:val="15"/>
          <w:vertAlign w:val="superscript"/>
        </w:rPr>
        <w:t>P319</w:t>
      </w:r>
      <w:r>
        <w:t>。仅变更风险等级并继续监控，不能充分回应已经确认的制裁风险；相比之下，B项更直接对应制裁筛查要求。</w:t>
      </w:r>
    </w:p>
    <w:p>
      <w:pPr>
        <w:spacing w:before="120" w:after="40"/>
      </w:pPr>
      <w:r>
        <w:rPr>
          <w:b/>
          <w:sz w:val="21"/>
          <w:shd w:fill="D6E4F0" w:val="clear"/>
        </w:rPr>
        <w:t>C项错误：</w:t>
      </w:r>
    </w:p>
    <w:p>
      <w:pPr>
        <w:spacing w:line="360" w:lineRule="auto" w:after="40"/>
        <w:ind w:firstLine="420"/>
      </w:pPr>
      <w:r>
        <w:t>教材指出制裁违规应上报监管机构，客户通常被终止关系</w:t>
      </w:r>
      <w:r>
        <w:rPr>
          <w:sz w:val="15"/>
          <w:vertAlign w:val="superscript"/>
        </w:rPr>
        <w:t>P319</w:t>
      </w:r>
      <w:r>
        <w:t>，强化尽职调查（EDD）更多针对一般高风险客户（如PEPs），而非已被列入制裁名单的禁止实体。对制裁名单实体，“筛查并冻结/上报”的匹配度高于“开展EDD”。</w:t>
      </w:r>
    </w:p>
    <w:p>
      <w:pPr>
        <w:spacing w:before="120" w:after="40"/>
      </w:pPr>
      <w:r>
        <w:rPr>
          <w:b/>
          <w:sz w:val="21"/>
          <w:shd w:fill="D6E4F0" w:val="clear"/>
        </w:rPr>
        <w:t>D项错误：</w:t>
      </w:r>
    </w:p>
    <w:p>
      <w:pPr>
        <w:spacing w:line="360" w:lineRule="auto" w:after="40"/>
        <w:ind w:firstLine="420"/>
      </w:pPr>
      <w:r>
        <w:t>教材在FATF建议中要求“立即冻结”涉恐人员或实体的资产</w:t>
      </w:r>
      <w:r>
        <w:rPr>
          <w:sz w:val="15"/>
          <w:vertAlign w:val="superscript"/>
        </w:rPr>
        <w:t>P147</w:t>
      </w:r>
      <w:r>
        <w:t>，前置“须经董事会批准”的条件与该“without delay”要求不一致。D项的问题在于附加了不当的批准条件，而B项更直接对应题干所问的制裁合规措施。</w:t>
      </w:r>
    </w:p>
    <w:p>
      <w:pPr>
        <w:spacing w:before="120" w:after="40"/>
      </w:pPr>
      <w:r>
        <w:rPr>
          <w:b/>
          <w:sz w:val="21"/>
          <w:shd w:fill="D6E4F0" w:val="clear"/>
        </w:rPr>
        <w:t>易错提醒：</w:t>
      </w:r>
    </w:p>
    <w:p>
      <w:pPr>
        <w:spacing w:line="360" w:lineRule="auto" w:after="40"/>
        <w:ind w:firstLine="420"/>
      </w:pPr>
      <w:r>
        <w:t>制裁筛查用于识别指定人员和实体；一旦确认命中，则应依适用规则及时采取冻结、阻断或报告等措施。不要把一般高风险客户的EDD与制裁名单命中后的处置混为一谈，也不要为“立即冻结”擅自增加董事会批准条件。自动化是常见的筛查实现方式，但具体技术形式仍取决于机构规模、业务和适用要求。</w:t>
      </w:r>
    </w:p>
    <w:p>
      <w:pPr>
        <w:spacing w:line="360" w:lineRule="auto" w:after="120"/>
      </w:pPr>
      <w:r/>
    </w:p>
    <w:p>
      <w:pPr>
        <w:spacing w:line="360" w:lineRule="auto" w:after="40"/>
      </w:pPr>
      <w:r>
        <w:t>3. 关于欧盟反洗钱指令(AMLD)与成员国本地反洗钱法规的关系,以下哪两项表述准确？（选择两项。）</w:t>
      </w:r>
      <w:r>
        <w:br/>
      </w:r>
      <w:r>
        <w:t>Which two statements accurately describe the relationship between the EU AML Directives (AMLD) and local AML regulations in EU member states? (Select Two.)</w:t>
      </w:r>
    </w:p>
    <w:p>
      <w:pPr>
        <w:spacing w:line="360" w:lineRule="auto" w:after="20"/>
      </w:pPr>
      <w:r>
        <w:t>A.欧盟反洗钱指令(AMLD)和地方反洗钱法规是相互独立且毫无关联的法律框架.</w:t>
      </w:r>
      <w:r>
        <w:br/>
      </w:r>
      <w:r>
        <w:t>The EU AMLD and local AML regulations are separate and unrelated legal frameworks.</w:t>
      </w:r>
    </w:p>
    <w:p>
      <w:pPr>
        <w:spacing w:line="360" w:lineRule="auto" w:after="20"/>
      </w:pPr>
      <w:r>
        <w:t>B.欧盟反洗钱指令与当地反洗钱法规必须具有相同的要求.</w:t>
      </w:r>
      <w:r>
        <w:br/>
      </w:r>
      <w:r>
        <w:t>The EU AMLD and local AML regulations must have identical requirements.</w:t>
      </w:r>
    </w:p>
    <w:p>
      <w:pPr>
        <w:spacing w:line="360" w:lineRule="auto" w:after="20"/>
      </w:pPr>
      <w:r>
        <w:t>C.本地反洗钱法规可能会施加比欧盟《反洗钱指令》更严格或更多的要求.</w:t>
      </w:r>
      <w:r>
        <w:br/>
      </w:r>
      <w:r>
        <w:t>Local AML regulations may impose additional or more stringent requirements than the EU AMLD.</w:t>
      </w:r>
    </w:p>
    <w:p>
      <w:pPr>
        <w:spacing w:line="360" w:lineRule="auto" w:after="20"/>
      </w:pPr>
      <w:r>
        <w:t>D.欧盟反洗钱指令无需成员国转化即可自动取代当地反洗钱法规.</w:t>
      </w:r>
      <w:r>
        <w:br/>
      </w:r>
      <w:r>
        <w:t>The EU AMLD automatically replaces local AML regulations without transposition by member states.</w:t>
      </w:r>
    </w:p>
    <w:p>
      <w:pPr>
        <w:spacing w:line="360" w:lineRule="auto" w:after="20"/>
      </w:pPr>
      <w:r>
        <w:t>E.本地反洗钱法律法规优先于欧盟反洗钱指令的要求.</w:t>
      </w:r>
      <w:r>
        <w:br/>
      </w:r>
      <w:r>
        <w:t>Local AML laws and regulations take precedence over the requirements of the EU AMLD.</w:t>
      </w:r>
    </w:p>
    <w:p>
      <w:pPr>
        <w:spacing w:line="360" w:lineRule="auto" w:after="20"/>
      </w:pPr>
      <w:r>
        <w:t>F.欧盟反洗钱指令设定共同原则和目标,成员国必须在规定期限内将其转化为本国法律.</w:t>
      </w:r>
      <w:r>
        <w:br/>
      </w:r>
      <w:r>
        <w:t>The EU AMLD sets common principles and goals, and member states must transpose it into national law by the required deadline.</w:t>
      </w:r>
    </w:p>
    <w:p>
      <w:pPr>
        <w:spacing w:line="360" w:lineRule="auto" w:after="40"/>
      </w:pPr>
      <w:r>
        <w:t>答案:C、F</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欧盟指令与成员国本地法规的层级关系和差异化适用</w:t>
      </w:r>
    </w:p>
    <w:p>
      <w:pPr>
        <w:spacing w:before="120" w:after="40"/>
      </w:pPr>
      <w:r>
        <w:rPr>
          <w:b/>
          <w:sz w:val="21"/>
          <w:shd w:fill="D6E4F0" w:val="clear"/>
        </w:rPr>
        <w:t>核心解析：</w:t>
      </w:r>
    </w:p>
    <w:p>
      <w:pPr>
        <w:spacing w:line="360" w:lineRule="auto" w:after="40"/>
        <w:ind w:firstLine="420"/>
      </w:pPr>
      <w:r>
        <w:t>欧盟反洗钱指令是设定</w:t>
      </w:r>
      <w:r>
        <w:rPr>
          <w:b/>
        </w:rPr>
        <w:t>原则和目标</w:t>
      </w:r>
      <w:r>
        <w:t>的欧盟立法行为，成员国必须在期限内将其</w:t>
      </w:r>
      <w:r>
        <w:rPr>
          <w:b/>
        </w:rPr>
        <w:t>转化为国内法</w:t>
      </w:r>
      <w:r>
        <w:t>，才能产生国内约束力</w:t>
      </w:r>
      <w:r>
        <w:rPr>
          <w:sz w:val="15"/>
          <w:vertAlign w:val="superscript"/>
        </w:rPr>
        <w:t>P189</w:t>
      </w:r>
      <w:r>
        <w:t>。同时，成员国本地标准可以</w:t>
      </w:r>
      <w:r>
        <w:rPr>
          <w:b/>
        </w:rPr>
        <w:t>高于欧盟最低要求</w:t>
      </w:r>
      <w:r>
        <w:t>，并应记录更高标准</w:t>
      </w:r>
      <w:r>
        <w:rPr>
          <w:sz w:val="15"/>
          <w:vertAlign w:val="superscript"/>
        </w:rPr>
        <w:t>P194</w:t>
      </w:r>
      <w:r>
        <w:t>。因此 C 对应“本地可以更严”，F 对应“指令设定共同目标并由成员国转化”，两项共同准确描述了 AMLD 与本地法规的关系。</w:t>
      </w:r>
    </w:p>
    <w:p>
      <w:pPr>
        <w:spacing w:before="120" w:after="40"/>
      </w:pPr>
      <w:r>
        <w:rPr>
          <w:b/>
          <w:sz w:val="21"/>
          <w:shd w:fill="D6E4F0" w:val="clear"/>
        </w:rPr>
        <w:t>教材原句：</w:t>
      </w:r>
    </w:p>
    <w:p>
      <w:pPr>
        <w:spacing w:line="360" w:lineRule="auto" w:after="40"/>
        <w:ind w:firstLine="420"/>
      </w:pPr>
      <w:r>
        <w:t>"If a jurisdiction in which a financial institution operates has a higher AML standard than its home jurisdiction, the financial institution should document this in the addendum."</w:t>
      </w:r>
      <w:r>
        <w:rPr>
          <w:sz w:val="15"/>
          <w:vertAlign w:val="superscript"/>
        </w:rPr>
        <w:t>P194</w:t>
      </w:r>
    </w:p>
    <w:p>
      <w:pPr>
        <w:spacing w:before="120" w:after="40"/>
      </w:pPr>
      <w:r>
        <w:rPr>
          <w:b/>
          <w:sz w:val="21"/>
          <w:shd w:fill="D6E4F0" w:val="clear"/>
        </w:rPr>
        <w:t>A项错误：</w:t>
      </w:r>
    </w:p>
    <w:p>
      <w:pPr>
        <w:spacing w:line="360" w:lineRule="auto" w:after="40"/>
        <w:ind w:firstLine="420"/>
      </w:pPr>
      <w:r>
        <w:t>教材显示AMLD与本地法规存在紧密的“转化”关系，指令发布后成员国需将其纳入国内法</w:t>
      </w:r>
      <w:r>
        <w:rPr>
          <w:sz w:val="15"/>
          <w:vertAlign w:val="superscript"/>
        </w:rPr>
        <w:t>P189</w:t>
      </w:r>
      <w:r>
        <w:t>，因此两者并非“相互独立且毫无关联”的法律框架。</w:t>
      </w:r>
    </w:p>
    <w:p>
      <w:pPr>
        <w:spacing w:before="120" w:after="40"/>
      </w:pPr>
      <w:r>
        <w:rPr>
          <w:b/>
          <w:sz w:val="21"/>
          <w:shd w:fill="D6E4F0" w:val="clear"/>
        </w:rPr>
        <w:t>B项错误：</w:t>
      </w:r>
    </w:p>
    <w:p>
      <w:pPr>
        <w:spacing w:line="360" w:lineRule="auto" w:after="40"/>
        <w:ind w:firstLine="420"/>
      </w:pPr>
      <w:r>
        <w:t>教材表明本地标准可以高于母国，且成员国对上游犯罪的定义曾存在差异，这说明AMLD允许本地法规在最低标准之上有差异，而非必须“完全相同”。</w:t>
      </w:r>
    </w:p>
    <w:p>
      <w:pPr>
        <w:spacing w:before="120" w:after="40"/>
      </w:pPr>
      <w:r>
        <w:rPr>
          <w:b/>
          <w:sz w:val="21"/>
          <w:shd w:fill="D6E4F0" w:val="clear"/>
        </w:rPr>
        <w:t>D项错误：</w:t>
      </w:r>
    </w:p>
    <w:p>
      <w:pPr>
        <w:spacing w:line="360" w:lineRule="auto" w:after="40"/>
        <w:ind w:firstLine="420"/>
      </w:pPr>
      <w:r>
        <w:t>指令不是无需转化即可自动取代本地法的法规；教材明确要求成员国完成转化后才具有国内约束力。</w:t>
      </w:r>
    </w:p>
    <w:p>
      <w:pPr>
        <w:spacing w:before="120" w:after="40"/>
      </w:pPr>
      <w:r>
        <w:rPr>
          <w:b/>
          <w:sz w:val="21"/>
          <w:shd w:fill="D6E4F0" w:val="clear"/>
        </w:rPr>
        <w:t>E项错误：</w:t>
      </w:r>
    </w:p>
    <w:p>
      <w:pPr>
        <w:spacing w:line="360" w:lineRule="auto" w:after="40"/>
        <w:ind w:firstLine="420"/>
      </w:pPr>
      <w:r>
        <w:t>本地法规是落实指令的国内法律工具，但不能据此概括为本地法规普遍优先于欧盟指令；本题准确表述是 F 的“设定原则目标并转化”，而不是 E 的绝对优先关系。</w:t>
      </w:r>
    </w:p>
    <w:p>
      <w:pPr>
        <w:spacing w:before="120" w:after="40"/>
      </w:pPr>
      <w:r>
        <w:rPr>
          <w:b/>
          <w:sz w:val="21"/>
          <w:shd w:fill="D6E4F0" w:val="clear"/>
        </w:rPr>
        <w:t>易错提醒：</w:t>
      </w:r>
    </w:p>
    <w:p>
      <w:pPr>
        <w:spacing w:line="360" w:lineRule="auto" w:after="40"/>
        <w:ind w:firstLine="420"/>
      </w:pPr>
      <w:r>
        <w:t>区分“指令”和“法规”：AMLD设定原则与目标，成员国需要转化为本国法</w:t>
      </w:r>
      <w:r>
        <w:rPr>
          <w:sz w:val="15"/>
          <w:vertAlign w:val="superscript"/>
        </w:rPr>
        <w:t>P189</w:t>
      </w:r>
      <w:r>
        <w:t>；成员国还可以在最低标准之上增加更严格要求</w:t>
      </w:r>
      <w:r>
        <w:rPr>
          <w:sz w:val="15"/>
          <w:vertAlign w:val="superscript"/>
        </w:rPr>
        <w:t>P194</w:t>
      </w:r>
      <w:r>
        <w:t>。因此 C 与 F 分别考查“本地可更严”和“指令需转化”两个层面。</w:t>
      </w:r>
    </w:p>
    <w:p>
      <w:pPr>
        <w:spacing w:line="360" w:lineRule="auto" w:after="120"/>
      </w:pPr>
      <w:r/>
    </w:p>
    <w:p>
      <w:pPr>
        <w:spacing w:line="360" w:lineRule="auto" w:after="40"/>
      </w:pPr>
      <w:r>
        <w:t>4. 以下哪两项是了解您的客户(KYC)流程的关键组成部分？（选择两项。）</w:t>
      </w:r>
      <w:r>
        <w:br/>
      </w:r>
      <w:r>
        <w:t>Which of the following are key components of the Know Your Customer (KYC) process? (Select Two.)</w:t>
      </w:r>
    </w:p>
    <w:p>
      <w:pPr>
        <w:spacing w:line="360" w:lineRule="auto" w:after="20"/>
      </w:pPr>
      <w:r>
        <w:t>A.询问财富来源和资金来源</w:t>
      </w:r>
      <w:r>
        <w:br/>
      </w:r>
      <w:r>
        <w:t>Inquiring about the source of wealth and source of funds</w:t>
      </w:r>
    </w:p>
    <w:p>
      <w:pPr>
        <w:spacing w:line="360" w:lineRule="auto" w:after="20"/>
      </w:pPr>
      <w:r>
        <w:t>B.要求提供直系亲属名单</w:t>
      </w:r>
      <w:r>
        <w:br/>
      </w:r>
      <w:r>
        <w:t>Asking to provide a list of immediate family members</w:t>
      </w:r>
    </w:p>
    <w:p>
      <w:pPr>
        <w:spacing w:line="360" w:lineRule="auto" w:after="20"/>
      </w:pPr>
      <w:r>
        <w:t>C.核实客户的金融犯罪防范意识</w:t>
      </w:r>
      <w:r>
        <w:br/>
      </w:r>
      <w:r>
        <w:t>Verifying the financial crime awareness of the client</w:t>
      </w:r>
    </w:p>
    <w:p>
      <w:pPr>
        <w:spacing w:line="360" w:lineRule="auto" w:after="20"/>
      </w:pPr>
      <w:r>
        <w:t>D.收集必要的文件以核实信息的真实性</w:t>
      </w:r>
      <w:r>
        <w:br/>
      </w:r>
      <w:r>
        <w:t>Collecting necessary documents to verify the veracity of information</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识别KYC流程的核心组成要素</w:t>
      </w:r>
    </w:p>
    <w:p>
      <w:pPr>
        <w:spacing w:before="120" w:after="40"/>
      </w:pPr>
      <w:r>
        <w:rPr>
          <w:b/>
          <w:sz w:val="21"/>
          <w:shd w:fill="D6E4F0" w:val="clear"/>
        </w:rPr>
        <w:t>核心解析：</w:t>
      </w:r>
    </w:p>
    <w:p>
      <w:pPr>
        <w:spacing w:line="360" w:lineRule="auto" w:after="40"/>
        <w:ind w:firstLine="420"/>
      </w:pPr>
      <w:r>
        <w:t>教材列出的KYC流程关键组成部分包括</w:t>
      </w:r>
      <w:r>
        <w:rPr>
          <w:b/>
        </w:rPr>
        <w:t>核实客户身份、受益所有人、风险分类和资金来源</w:t>
      </w:r>
      <w:r>
        <w:rPr>
          <w:sz w:val="15"/>
          <w:vertAlign w:val="superscript"/>
        </w:rPr>
        <w:t>P305</w:t>
      </w:r>
      <w:r>
        <w:t>。同时，银行应调查并记录客户的</w:t>
      </w:r>
      <w:r>
        <w:rPr>
          <w:b/>
        </w:rPr>
        <w:t>财富来源与资金来源</w:t>
      </w:r>
      <w:r>
        <w:rPr>
          <w:sz w:val="15"/>
          <w:vertAlign w:val="superscript"/>
        </w:rPr>
        <w:t>P58</w:t>
      </w:r>
      <w:r>
        <w:t>。验证则是对提供的信息进行认证，如通过政府文件等</w:t>
      </w:r>
      <w:r>
        <w:rPr>
          <w:sz w:val="15"/>
          <w:vertAlign w:val="superscript"/>
        </w:rPr>
        <w:t>P203</w:t>
      </w:r>
      <w:r>
        <w:t>。选项A询问财富来源和资金来源，直接对应资金来源这一必要要素；选项D收集必要文件以核实信息真实性，正是</w:t>
      </w:r>
      <w:r>
        <w:rPr>
          <w:b/>
        </w:rPr>
        <w:t>验证步骤</w:t>
      </w:r>
      <w:r>
        <w:t>的体现。两项均处于KYC流程的核心环节，因此是正确答案。</w:t>
      </w:r>
    </w:p>
    <w:p>
      <w:pPr>
        <w:spacing w:before="120" w:after="40"/>
      </w:pPr>
      <w:r>
        <w:rPr>
          <w:b/>
          <w:sz w:val="21"/>
          <w:shd w:fill="D6E4F0" w:val="clear"/>
        </w:rPr>
        <w:t>教材原句：</w:t>
      </w:r>
    </w:p>
    <w:p>
      <w:pPr>
        <w:spacing w:line="360" w:lineRule="auto" w:after="40"/>
        <w:ind w:firstLine="420"/>
      </w:pPr>
      <w:r>
        <w:t>"These efforts include verifying customer identity, beneficial ownership, risk classification, and source of funds."</w:t>
      </w:r>
      <w:r>
        <w:rPr>
          <w:sz w:val="15"/>
          <w:vertAlign w:val="superscript"/>
        </w:rPr>
        <w:t>P305</w:t>
      </w:r>
    </w:p>
    <w:p>
      <w:pPr>
        <w:spacing w:before="120" w:after="40"/>
      </w:pPr>
      <w:r>
        <w:rPr>
          <w:b/>
          <w:sz w:val="21"/>
          <w:shd w:fill="D6E4F0" w:val="clear"/>
        </w:rPr>
        <w:t>B项错误：</w:t>
      </w:r>
    </w:p>
    <w:p>
      <w:pPr>
        <w:spacing w:line="360" w:lineRule="auto" w:after="40"/>
        <w:ind w:firstLine="420"/>
      </w:pPr>
      <w:r>
        <w:t>直系亲属信息主要用于识别和评估政治敏感人物（PEP）等特定风险</w:t>
      </w:r>
      <w:r>
        <w:rPr>
          <w:sz w:val="15"/>
          <w:vertAlign w:val="superscript"/>
        </w:rPr>
        <w:t>P58</w:t>
      </w:r>
      <w:r>
        <w:t>，并非适用于所有客户的KYC关键组成部分。题干问及的是普遍流程，其匹配度不如资金来源核实与文件验证直接。</w:t>
      </w:r>
    </w:p>
    <w:p>
      <w:pPr>
        <w:spacing w:before="120" w:after="40"/>
      </w:pPr>
      <w:r>
        <w:rPr>
          <w:b/>
          <w:sz w:val="21"/>
          <w:shd w:fill="D6E4F0" w:val="clear"/>
        </w:rPr>
        <w:t>C项错误：</w:t>
      </w:r>
    </w:p>
    <w:p>
      <w:pPr>
        <w:spacing w:line="360" w:lineRule="auto" w:after="40"/>
        <w:ind w:firstLine="420"/>
      </w:pPr>
      <w:r>
        <w:t>核实客户的金融犯罪防范意识在教材中指向员工培训，关注的是机构内部能力建设，而非客户接纳时的KYC流程。题干要素与之无直接关联。</w:t>
      </w:r>
    </w:p>
    <w:p>
      <w:pPr>
        <w:spacing w:before="120" w:after="40"/>
      </w:pPr>
      <w:r>
        <w:rPr>
          <w:b/>
          <w:sz w:val="21"/>
          <w:shd w:fill="D6E4F0" w:val="clear"/>
        </w:rPr>
        <w:t>易错提醒：</w:t>
      </w:r>
    </w:p>
    <w:p>
      <w:pPr>
        <w:spacing w:line="360" w:lineRule="auto" w:after="40"/>
        <w:ind w:firstLine="420"/>
      </w:pPr>
      <w:r>
        <w:t>直系亲属名单通常只在客户被识别为政治敏感人物（PEP）时才需要收集</w:t>
      </w:r>
      <w:r>
        <w:rPr>
          <w:sz w:val="15"/>
          <w:vertAlign w:val="superscript"/>
        </w:rPr>
        <w:t>P58</w:t>
      </w:r>
      <w:r>
        <w:t>，属于强化尽职调查措施，而非所有客户KYC的必备环节。</w:t>
      </w:r>
    </w:p>
    <w:p>
      <w:pPr>
        <w:spacing w:line="360" w:lineRule="auto" w:after="120"/>
      </w:pPr>
      <w:r/>
    </w:p>
    <w:p>
      <w:pPr>
        <w:spacing w:line="360" w:lineRule="auto" w:after="40"/>
      </w:pPr>
      <w:r>
        <w:t>5. 哪些受监管实体或守门人可能被要求进行客户尽职调查(CDD)?(选择四项.)</w:t>
      </w:r>
      <w:r>
        <w:br/>
      </w:r>
      <w:r>
        <w:t>Which obliged entities or gatekeepers may be required to perform customer due diligence (CDD)? (Select Four.)</w:t>
      </w:r>
    </w:p>
    <w:p>
      <w:pPr>
        <w:spacing w:line="360" w:lineRule="auto" w:after="20"/>
      </w:pPr>
      <w:r>
        <w:t>A.赌场保安人员</w:t>
      </w:r>
      <w:r>
        <w:br/>
      </w:r>
      <w:r>
        <w:t>Casino security guards</w:t>
      </w:r>
    </w:p>
    <w:p>
      <w:pPr>
        <w:spacing w:line="360" w:lineRule="auto" w:after="20"/>
      </w:pPr>
      <w:r>
        <w:t>B.市法院法官</w:t>
      </w:r>
      <w:r>
        <w:br/>
      </w:r>
      <w:r>
        <w:t>City court judges</w:t>
      </w:r>
    </w:p>
    <w:p>
      <w:pPr>
        <w:spacing w:line="360" w:lineRule="auto" w:after="20"/>
      </w:pPr>
      <w:r>
        <w:t>C.参与房地产交易的公证员</w:t>
      </w:r>
      <w:r>
        <w:br/>
      </w:r>
      <w:r>
        <w:t>Notaries involved in real estate transactions</w:t>
      </w:r>
    </w:p>
    <w:p>
      <w:pPr>
        <w:spacing w:line="360" w:lineRule="auto" w:after="20"/>
      </w:pPr>
      <w:r>
        <w:t>D.贵金属和宝石经销商</w:t>
      </w:r>
      <w:r>
        <w:br/>
      </w:r>
      <w:r>
        <w:t>Dealers in precious metals and stones</w:t>
      </w:r>
    </w:p>
    <w:p>
      <w:pPr>
        <w:spacing w:line="360" w:lineRule="auto" w:after="20"/>
      </w:pPr>
      <w:r>
        <w:t>E.房地产经纪人</w:t>
      </w:r>
      <w:r>
        <w:br/>
      </w:r>
      <w:r>
        <w:t>Real estate agents</w:t>
      </w:r>
    </w:p>
    <w:p>
      <w:pPr>
        <w:spacing w:line="360" w:lineRule="auto" w:after="20"/>
      </w:pPr>
      <w:r>
        <w:t>F.会计和审计员</w:t>
      </w:r>
      <w:r>
        <w:br/>
      </w:r>
      <w:r>
        <w:t>Accountants and auditors</w:t>
      </w:r>
    </w:p>
    <w:p>
      <w:pPr>
        <w:spacing w:line="360" w:lineRule="auto" w:after="40"/>
      </w:pPr>
      <w:r>
        <w:t>答案:C、D、E、F</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w:t>
      </w:r>
      <w:r>
        <w:rPr>
          <w:b/>
        </w:rPr>
        <w:t>DNFBP的范畴及CDD义务主体</w:t>
      </w:r>
    </w:p>
    <w:p>
      <w:pPr>
        <w:spacing w:before="120" w:after="40"/>
      </w:pPr>
      <w:r>
        <w:rPr>
          <w:b/>
          <w:sz w:val="21"/>
          <w:shd w:fill="D6E4F0" w:val="clear"/>
        </w:rPr>
        <w:t>核心解析：</w:t>
      </w:r>
    </w:p>
    <w:p>
      <w:pPr>
        <w:spacing w:line="360" w:lineRule="auto" w:after="40"/>
        <w:ind w:firstLine="420"/>
      </w:pPr>
      <w:r>
        <w:t>受监管实体（obliged entities）指依法承担反洗钱合规义务的机构，包括金融机构和指定非金融行业与职业（DNFBPs），它们必须进行客户尽职调查</w:t>
      </w:r>
      <w:r>
        <w:rPr>
          <w:sz w:val="15"/>
          <w:vertAlign w:val="superscript"/>
        </w:rPr>
        <w:t>P203</w:t>
      </w:r>
      <w:r>
        <w:t>。DNFBP常被称为</w:t>
      </w:r>
      <w:r>
        <w:rPr>
          <w:b/>
        </w:rPr>
        <w:t>“守门人”（gatekeepers）</w:t>
      </w:r>
      <w:r>
        <w:t>，充当犯罪分子与金融系统之间的中介</w:t>
      </w:r>
      <w:r>
        <w:rPr>
          <w:sz w:val="15"/>
          <w:vertAlign w:val="superscript"/>
        </w:rPr>
        <w:t>P119</w:t>
      </w:r>
      <w:r>
        <w:t>。题干问哪些“守门人”可能被要求执行CDD，其核心是判断选项是否属于DNFBP范畴。C项公证员在房地产交易中可确认产权、合同有效性及资金来源合法性</w:t>
      </w:r>
      <w:r>
        <w:rPr>
          <w:sz w:val="15"/>
          <w:vertAlign w:val="superscript"/>
        </w:rPr>
        <w:t>P122</w:t>
      </w:r>
      <w:r>
        <w:t>，属法律专业人士，是典型的DNFBP。D项贵金属和宝石经销商因商品便携、易变现而面临较高洗钱风险</w:t>
      </w:r>
      <w:r>
        <w:rPr>
          <w:sz w:val="15"/>
          <w:vertAlign w:val="superscript"/>
        </w:rPr>
        <w:t>P119</w:t>
      </w:r>
      <w:r>
        <w:t>，教材明确将其列为DNFBP中的高风险类型。E项房地产经纪人通过虚增房产价值或复杂所有权结构可能被用于洗钱</w:t>
      </w:r>
      <w:r>
        <w:rPr>
          <w:sz w:val="15"/>
          <w:vertAlign w:val="superscript"/>
        </w:rPr>
        <w:t>P119</w:t>
      </w:r>
      <w:r>
        <w:t>，同样是DNFBP的典型代表。F项会计师提供财务服务，可能使非法交易看似合法</w:t>
      </w:r>
      <w:r>
        <w:rPr>
          <w:sz w:val="15"/>
          <w:vertAlign w:val="superscript"/>
        </w:rPr>
        <w:t>P117</w:t>
      </w:r>
      <w:r>
        <w:t>，并面临各类洗钱风险</w:t>
      </w:r>
      <w:r>
        <w:rPr>
          <w:sz w:val="15"/>
          <w:vertAlign w:val="superscript"/>
        </w:rPr>
        <w:t>P123</w:t>
      </w:r>
      <w:r>
        <w:t>，属于DNFBP。四者均在教材所列DNFBP的范畴内，由此可推断须执行CDD。</w:t>
      </w:r>
    </w:p>
    <w:p>
      <w:pPr>
        <w:spacing w:before="120" w:after="40"/>
      </w:pPr>
      <w:r>
        <w:rPr>
          <w:b/>
          <w:sz w:val="21"/>
          <w:shd w:fill="D6E4F0" w:val="clear"/>
        </w:rPr>
        <w:t>教材原句：</w:t>
      </w:r>
    </w:p>
    <w:p>
      <w:pPr>
        <w:spacing w:line="360" w:lineRule="auto" w:after="40"/>
        <w:ind w:firstLine="420"/>
      </w:pPr>
      <w:r>
        <w:t>"As part of their compliance obligations, all regulated entities, including financial institutions and DNFBPs, must conduct CDD and KYC."</w:t>
      </w:r>
    </w:p>
    <w:p>
      <w:pPr>
        <w:spacing w:before="120" w:after="40"/>
      </w:pPr>
      <w:r>
        <w:rPr>
          <w:b/>
          <w:sz w:val="21"/>
          <w:shd w:fill="D6E4F0" w:val="clear"/>
        </w:rPr>
        <w:t>A项错误：</w:t>
      </w:r>
    </w:p>
    <w:p>
      <w:pPr>
        <w:spacing w:line="360" w:lineRule="auto" w:after="40"/>
        <w:ind w:firstLine="420"/>
      </w:pPr>
      <w:r>
        <w:t>赌场本身因大量现金交易属于DNFBP，但“赌场保安人员”是雇佣岗位而非受监管实体。教材讨论赌场的洗钱风险时，主语始终是赌场（运营者）而非其保安人员</w:t>
      </w:r>
      <w:r>
        <w:rPr>
          <w:sz w:val="15"/>
          <w:vertAlign w:val="superscript"/>
        </w:rPr>
        <w:t>P121</w:t>
      </w:r>
      <w:r>
        <w:t>，题干更直接匹配C、D、E、F这类被明确列为DNFBP的职业或行业主体。</w:t>
      </w:r>
    </w:p>
    <w:p>
      <w:pPr>
        <w:spacing w:before="120" w:after="40"/>
      </w:pPr>
      <w:r>
        <w:rPr>
          <w:b/>
          <w:sz w:val="21"/>
          <w:shd w:fill="D6E4F0" w:val="clear"/>
        </w:rPr>
        <w:t>B项错误：</w:t>
      </w:r>
    </w:p>
    <w:p>
      <w:pPr>
        <w:spacing w:line="360" w:lineRule="auto" w:after="40"/>
        <w:ind w:firstLine="420"/>
      </w:pPr>
      <w:r>
        <w:t>教材中“法院命令”是执法机构获取信息的法律工具，法官是发出命令的一方</w:t>
      </w:r>
      <w:r>
        <w:rPr>
          <w:sz w:val="15"/>
          <w:vertAlign w:val="superscript"/>
        </w:rPr>
        <w:t>P336</w:t>
      </w:r>
      <w:r>
        <w:t>，“法院裁决”是外部数据来源</w:t>
      </w:r>
      <w:r>
        <w:rPr>
          <w:sz w:val="15"/>
          <w:vertAlign w:val="superscript"/>
        </w:rPr>
        <w:t>P467</w:t>
      </w:r>
      <w:r>
        <w:t>。法官本身不被列为受监管实体或DNFBP，题干要求的是执行CDD的义务主体而非执法或司法机关。</w:t>
      </w:r>
    </w:p>
    <w:p>
      <w:pPr>
        <w:spacing w:before="120" w:after="40"/>
      </w:pPr>
      <w:r>
        <w:rPr>
          <w:b/>
          <w:sz w:val="21"/>
          <w:shd w:fill="D6E4F0" w:val="clear"/>
        </w:rPr>
        <w:t>易错提醒：</w:t>
      </w:r>
    </w:p>
    <w:p>
      <w:pPr>
        <w:spacing w:line="360" w:lineRule="auto" w:after="40"/>
        <w:ind w:firstLine="420"/>
      </w:pPr>
      <w:r>
        <w:t>DNFBP指</w:t>
      </w:r>
      <w:r>
        <w:rPr>
          <w:b/>
        </w:rPr>
        <w:t>从事易被洗钱利用的活动但本身非金融机构的实体</w:t>
      </w:r>
      <w:r>
        <w:t>，具体包括房地产经纪人、贵金属经销商、律师/公证员、会计师等</w:t>
      </w:r>
      <w:r>
        <w:rPr>
          <w:sz w:val="15"/>
          <w:vertAlign w:val="superscript"/>
        </w:rPr>
        <w:t>P119</w:t>
      </w:r>
      <w:r>
        <w:t>。赌场、在线博彩运营商本身可能属于DNFBP，但其雇佣的保安、荷官等岗位人员不是。“守门人”指向的是实体而非受雇人员。</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