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(中英对照)</w:t>
      </w:r>
    </w:p>
    <w:p>
      <w:pPr>
        <w:spacing w:line="360" w:lineRule="auto" w:after="160"/>
      </w:pPr>
      <w:r>
        <w:t>一、单项选择题</w:t>
      </w:r>
    </w:p>
    <w:p>
      <w:pPr>
        <w:spacing w:line="360" w:lineRule="auto" w:after="40"/>
      </w:pPr>
      <w:r>
        <w:t>1. 以下关于通风报信的陈述,哪一项是正确的？</w:t>
      </w:r>
      <w:r>
        <w:br/>
      </w:r>
      <w:r>
        <w:t>Which of the following statements is true regarding tipping off?</w:t>
      </w:r>
    </w:p>
    <w:p>
      <w:pPr>
        <w:spacing w:line="360" w:lineRule="auto" w:after="20"/>
      </w:pPr>
      <w:r>
        <w:t>A.禁止通风报信的义务仅适用于AFC专业人士和银行工作人员,因为他们需要提交可疑活动报告(SAR).</w:t>
      </w:r>
      <w:r>
        <w:br/>
      </w:r>
      <w:r>
        <w:t>The tipping-off obligation is only applied to AFC professionals and bank staff because they are required to file a Suspicious Activity Report (SAR)</w:t>
      </w:r>
    </w:p>
    <w:p>
      <w:pPr>
        <w:spacing w:line="360" w:lineRule="auto" w:after="20"/>
      </w:pPr>
      <w:r>
        <w:t>B.通风报信是指未经授权向可能成为调查对象或可能妨碍调查的第三方披露有关金融犯罪调查的机密信息的犯罪行为.</w:t>
      </w:r>
      <w:r>
        <w:br/>
      </w:r>
      <w:r>
        <w:t>Tipping off is a criminal act whereby confidential information about a financial crime investigation is disclosed in an unauthorized manner to a third party who may be the subject of the investigation or able to prejudice it</w:t>
      </w:r>
    </w:p>
    <w:p>
      <w:pPr>
        <w:spacing w:line="360" w:lineRule="auto" w:after="20"/>
      </w:pPr>
      <w:r>
        <w:t>C.当对交易监控系统已标记的客户进行详细询问时,不构成通风报信.</w:t>
      </w:r>
      <w:r>
        <w:br/>
      </w:r>
      <w:r>
        <w:t>Tipping off is not committed when detailed inquiries are made with a customer whose transactions have been flagged by a transaction monitoring system</w:t>
      </w:r>
    </w:p>
    <w:p>
      <w:pPr>
        <w:spacing w:line="360" w:lineRule="auto" w:after="20"/>
      </w:pPr>
      <w:r>
        <w:t>D.当发现异常交易时,反洗钱专员可以指示客户经理与客户沟通,以决定是否应提交可疑交易报告.</w:t>
      </w:r>
      <w:r>
        <w:br/>
      </w:r>
      <w:r>
        <w:t>When unusual transactions are identified, the AML specialist can instruct the relationship manager to communicate with the customer to decide whether a suspicious transaction report should be filed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通风报信（tipping off）的定义与法律后果</w:t>
      </w:r>
    </w:p>
    <w:p>
      <w:pPr>
        <w:spacing w:before="120" w:after="40"/>
      </w:pPr>
      <w:r>
        <w:rPr>
          <w:b/>
          <w:sz w:val="21"/>
          <w:shd w:fill="D6E4F0" w:val="clear"/>
        </w:rPr>
        <w:t>核心解析：</w:t>
      </w:r>
    </w:p>
    <w:p>
      <w:pPr>
        <w:spacing w:line="360" w:lineRule="auto" w:after="40"/>
        <w:ind w:firstLine="420"/>
      </w:pPr>
      <w:r>
        <w:t>通风报信指调查人员有意或无意地向调查对象透露其活动正被监控的行为</w:t>
      </w:r>
      <w:r>
        <w:rPr>
          <w:sz w:val="15"/>
          <w:vertAlign w:val="superscript"/>
        </w:rPr>
        <w:t>P340</w:t>
      </w:r>
      <w:r>
        <w:t>，反洗钱法规禁止此举，违者可能面临刑事责任、监管制裁和声誉损害</w:t>
      </w:r>
      <w:r>
        <w:rPr>
          <w:sz w:val="15"/>
          <w:vertAlign w:val="superscript"/>
        </w:rPr>
        <w:t>P340</w:t>
      </w:r>
      <w:r>
        <w:t>，通风报信在某些情况下属于重罪，员工可能面临刑事指控</w:t>
      </w:r>
      <w:r>
        <w:rPr>
          <w:sz w:val="15"/>
          <w:vertAlign w:val="superscript"/>
        </w:rPr>
        <w:t>P336</w:t>
      </w:r>
      <w:r>
        <w:t>。选项B的表述——“未经授权向可能成为调查对象或可能妨碍调查的第三方披露有关金融犯罪调查的机密信息的犯罪行为”——与教材对通风报信的核心定义高度吻合：</w:t>
      </w:r>
      <w:r>
        <w:rPr>
          <w:b/>
        </w:rPr>
        <w:t>未经授权的披露、机密信息、调查对象/妨碍调查的第三方</w:t>
      </w:r>
      <w:r>
        <w:t>。题干问的是关于通风报信的正确陈述，B项准确概括了这一行为的</w:t>
      </w:r>
      <w:r>
        <w:rPr>
          <w:b/>
        </w:rPr>
        <w:t>犯罪性质和核心要素</w:t>
      </w:r>
      <w:r>
        <w:t>。</w:t>
      </w:r>
    </w:p>
    <w:p>
      <w:pPr>
        <w:spacing w:before="120" w:after="40"/>
      </w:pPr>
      <w:r>
        <w:rPr>
          <w:b/>
          <w:sz w:val="21"/>
          <w:shd w:fill="D6E4F0" w:val="clear"/>
        </w:rPr>
        <w:t>A项错误：</w:t>
      </w:r>
    </w:p>
    <w:p>
      <w:pPr>
        <w:spacing w:line="360" w:lineRule="auto" w:after="40"/>
        <w:ind w:firstLine="420"/>
      </w:pPr>
      <w:r>
        <w:t>教材规定员工必须保持保密，避免向客户通风报信</w:t>
      </w:r>
      <w:r>
        <w:rPr>
          <w:sz w:val="15"/>
          <w:vertAlign w:val="superscript"/>
        </w:rPr>
        <w:t>P339</w:t>
      </w:r>
      <w:r>
        <w:t>，保密义务不限于AFC专业人士和银行工作人员，而是涵盖所有可能接触调查信息的员工。选项A将义务主体限定为“仅适用于AFC专业人士和银行工作人员”，与教材的普遍性要求不匹配。</w:t>
      </w:r>
    </w:p>
    <w:p>
      <w:pPr>
        <w:spacing w:before="120" w:after="40"/>
      </w:pPr>
      <w:r>
        <w:rPr>
          <w:b/>
          <w:sz w:val="21"/>
          <w:shd w:fill="D6E4F0" w:val="clear"/>
        </w:rPr>
        <w:t>C项错误：</w:t>
      </w:r>
    </w:p>
    <w:p>
      <w:pPr>
        <w:spacing w:line="360" w:lineRule="auto" w:after="40"/>
        <w:ind w:firstLine="420"/>
      </w:pPr>
      <w:r>
        <w:t>教材指出在开展客户沟通前，分析师应确保所需信息关键且无法从内部或外部获取</w:t>
      </w:r>
      <w:r>
        <w:rPr>
          <w:sz w:val="15"/>
          <w:vertAlign w:val="superscript"/>
        </w:rPr>
        <w:t>P340</w:t>
      </w:r>
      <w:r>
        <w:t>，这意味着向客户询问过多或不必要的问题存在通风报信风险。对已被标记的客户进行“详细询问（detailed inquiries）”若不当，可能泄露调查敏感性，教材对通风报信的禁止并未豁免此类沟通。</w:t>
      </w:r>
    </w:p>
    <w:p>
      <w:pPr>
        <w:spacing w:before="120" w:after="40"/>
      </w:pPr>
      <w:r>
        <w:rPr>
          <w:b/>
          <w:sz w:val="21"/>
          <w:shd w:fill="D6E4F0" w:val="clear"/>
        </w:rPr>
        <w:t>D项错误：</w:t>
      </w:r>
    </w:p>
    <w:p>
      <w:pPr>
        <w:spacing w:line="360" w:lineRule="auto" w:after="40"/>
        <w:ind w:firstLine="420"/>
      </w:pPr>
      <w:r>
        <w:t>教材规定提交SAR的决定权通常属于洗钱报告官（MLRO）或指定官员，由其最终决定是否提交SAR</w:t>
      </w:r>
      <w:r>
        <w:rPr>
          <w:sz w:val="15"/>
          <w:vertAlign w:val="superscript"/>
        </w:rPr>
        <w:t>P346</w:t>
      </w:r>
      <w:r>
        <w:t>。反洗钱分析师进行调查和提出建议，但不指示客户经理与客户沟通“以决定是否应提交报告”。这种让客户参与决策的做法本身就可能导致通风报信。</w:t>
      </w:r>
    </w:p>
    <w:p>
      <w:pPr>
        <w:spacing w:before="120" w:after="40"/>
      </w:pPr>
      <w:r>
        <w:rPr>
          <w:b/>
          <w:sz w:val="21"/>
          <w:shd w:fill="D6E4F0" w:val="clear"/>
        </w:rPr>
        <w:t>易错提醒：</w:t>
      </w:r>
    </w:p>
    <w:p>
      <w:pPr>
        <w:spacing w:line="360" w:lineRule="auto" w:after="40"/>
        <w:ind w:firstLine="420"/>
      </w:pPr>
      <w:r>
        <w:t>通风报信的关键在于“未经授权”向“调查对象或可能妨碍调查的第三方”披露“机密信息”。日常的客户尽职调查沟通与通风报信的区分标准是：沟通是否出于获取合理必要信息的目的，以及沟通方式是否避免了向客户暗示其正被调查。若询问内容超出必要范围，或用语暗示客户行为可疑，就可能构成通风报信。</w:t>
      </w:r>
    </w:p>
    <w:p>
      <w:pPr>
        <w:spacing w:line="360" w:lineRule="auto" w:after="120"/>
      </w:pPr>
      <w:r/>
    </w:p>
    <w:p>
      <w:pPr>
        <w:spacing w:line="360" w:lineRule="auto" w:after="40"/>
      </w:pPr>
      <w:r>
        <w:t>2. 某金融机构的一名反洗钱分析师正在审查自动交易监控系统生成的警报，以判断应将其上报反洗钱部门作进一步调查，还是作为误报归档。该分析师采取以下哪项行动较为合理？</w:t>
      </w:r>
      <w:r>
        <w:br/>
      </w:r>
      <w:r>
        <w:t>An AML analyst at a financial institution is examining an alert generated by the automated transaction monitoring system to determine whether the alert should be escalated to the AML unit for further investigation or archived as a false positive. Which action might be reasonable for the AML analyst to take?</w:t>
      </w:r>
    </w:p>
    <w:p>
      <w:pPr>
        <w:spacing w:line="360" w:lineRule="auto" w:after="20"/>
      </w:pPr>
      <w:r>
        <w:t>A.限制客户访问账户</w:t>
      </w:r>
      <w:r>
        <w:br/>
      </w:r>
      <w:r>
        <w:t>Restrict the client's access to the account</w:t>
      </w:r>
    </w:p>
    <w:p>
      <w:pPr>
        <w:spacing w:line="360" w:lineRule="auto" w:after="20"/>
      </w:pPr>
      <w:r>
        <w:t>B.向负责引发警报账户的关系经理请求信息</w:t>
      </w:r>
      <w:r>
        <w:br/>
      </w:r>
      <w:r>
        <w:t>Request information from the relationship manager assigned to the account that caused the alert</w:t>
      </w:r>
    </w:p>
    <w:p>
      <w:pPr>
        <w:spacing w:line="360" w:lineRule="auto" w:after="20"/>
      </w:pPr>
      <w:r>
        <w:t>C.进行线下测试，以确保自动化监控系统运行有效</w:t>
      </w:r>
      <w:r>
        <w:br/>
      </w:r>
      <w:r>
        <w:t>Perform below-the-line testing to ensure the automated monitoring system is operating effectively</w:t>
      </w:r>
    </w:p>
    <w:p>
      <w:pPr>
        <w:spacing w:line="360" w:lineRule="auto" w:after="20"/>
      </w:pPr>
      <w:r>
        <w:t>D.向引发警报的交易所涉及的交易对手银行发送信息请求</w:t>
      </w:r>
      <w:r>
        <w:br/>
      </w:r>
      <w:r>
        <w:t>Send a request for information to the counterparty bank involved in the transactions that caused the alert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警报审查时通过关系经理收集客户信息的流程</w:t>
      </w:r>
    </w:p>
    <w:p>
      <w:pPr>
        <w:spacing w:before="120" w:after="40"/>
      </w:pPr>
      <w:r>
        <w:rPr>
          <w:b/>
          <w:sz w:val="21"/>
          <w:shd w:fill="D6E4F0" w:val="clear"/>
        </w:rPr>
        <w:t>核心解析：</w:t>
      </w:r>
    </w:p>
    <w:p>
      <w:pPr>
        <w:spacing w:line="360" w:lineRule="auto" w:after="40"/>
        <w:ind w:firstLine="420"/>
      </w:pPr>
      <w:r>
        <w:t>交易监控警报审查中，分析师可能需要</w:t>
      </w:r>
      <w:r>
        <w:rPr>
          <w:b/>
        </w:rPr>
        <w:t>内部数据或公开来源无法获取的信息</w:t>
      </w:r>
      <w:r>
        <w:rPr>
          <w:sz w:val="15"/>
          <w:vertAlign w:val="superscript"/>
        </w:rPr>
        <w:t>P339</w:t>
      </w:r>
      <w:r>
        <w:t>。关系经理或一线员工最适合联系客户、合作机构或代理行获取此类信息，并反馈给分析师</w:t>
      </w:r>
      <w:r>
        <w:rPr>
          <w:sz w:val="15"/>
          <w:vertAlign w:val="superscript"/>
        </w:rPr>
        <w:t>P339</w:t>
      </w:r>
      <w:r>
        <w:t>。分析师在开展外联前应确认所需信息对判断至关重要且无法通过内部或外部渠道获得</w:t>
      </w:r>
      <w:r>
        <w:rPr>
          <w:sz w:val="15"/>
          <w:vertAlign w:val="superscript"/>
        </w:rPr>
        <w:t>P340</w:t>
      </w:r>
      <w:r>
        <w:t>。题干中，分析师审查警报时需要进一步信息来判断风险，向负责该账户的关系经理请求信息直接对应这一</w:t>
      </w:r>
      <w:r>
        <w:rPr>
          <w:b/>
        </w:rPr>
        <w:t>内部信息获取流程</w:t>
      </w:r>
      <w:r>
        <w:t>，因此是合理的下一步。</w:t>
      </w:r>
    </w:p>
    <w:p>
      <w:pPr>
        <w:spacing w:before="120" w:after="40"/>
      </w:pPr>
      <w:r>
        <w:rPr>
          <w:b/>
          <w:sz w:val="21"/>
          <w:shd w:fill="D6E4F0" w:val="clear"/>
        </w:rPr>
        <w:t>A项错误：</w:t>
      </w:r>
    </w:p>
    <w:p>
      <w:pPr>
        <w:spacing w:line="360" w:lineRule="auto" w:after="40"/>
        <w:ind w:firstLine="420"/>
      </w:pPr>
      <w:r>
        <w:t>限制账户访问是分析师在案件认定为高度可疑并升级后可能建议的预防措施</w:t>
      </w:r>
      <w:r>
        <w:rPr>
          <w:sz w:val="15"/>
          <w:vertAlign w:val="superscript"/>
        </w:rPr>
        <w:t>P335</w:t>
      </w:r>
      <w:r>
        <w:t>，题干处于警报审查初期需要收集信息以判断风险，这一行动不如先通过内部渠道获取信息来得直接。</w:t>
      </w:r>
    </w:p>
    <w:p>
      <w:pPr>
        <w:spacing w:before="120" w:after="40"/>
      </w:pPr>
      <w:r>
        <w:rPr>
          <w:b/>
          <w:sz w:val="21"/>
          <w:shd w:fill="D6E4F0" w:val="clear"/>
        </w:rPr>
        <w:t>C项错误：</w:t>
      </w:r>
    </w:p>
    <w:p>
      <w:pPr>
        <w:spacing w:line="360" w:lineRule="auto" w:after="40"/>
        <w:ind w:firstLine="420"/>
      </w:pPr>
      <w:r>
        <w:t>线下测试用于调优交易监控系统、验证阈值有效性</w:t>
      </w:r>
      <w:r>
        <w:rPr>
          <w:sz w:val="15"/>
          <w:vertAlign w:val="superscript"/>
        </w:rPr>
        <w:t>P446</w:t>
      </w:r>
      <w:r>
        <w:t>，属于系统层面的校准工作，而题干要求的是针对单个警报的审查行动，两者在任务类型上不匹配。</w:t>
      </w:r>
    </w:p>
    <w:p>
      <w:pPr>
        <w:spacing w:before="120" w:after="40"/>
      </w:pPr>
      <w:r>
        <w:rPr>
          <w:b/>
          <w:sz w:val="21"/>
          <w:shd w:fill="D6E4F0" w:val="clear"/>
        </w:rPr>
        <w:t>D项错误：</w:t>
      </w:r>
    </w:p>
    <w:p>
      <w:pPr>
        <w:spacing w:line="360" w:lineRule="auto" w:after="40"/>
        <w:ind w:firstLine="420"/>
      </w:pPr>
      <w:r>
        <w:t>教材流程将获取外部信息的任务分配给关系经理或一线员工</w:t>
      </w:r>
      <w:r>
        <w:rPr>
          <w:sz w:val="15"/>
          <w:vertAlign w:val="superscript"/>
        </w:rPr>
        <w:t>P339</w:t>
      </w:r>
      <w:r>
        <w:t>，分析师直接向交易对手银行发送信息请求不仅绕过了这一内部协调机制，还可能引发通风报信风险，相比之下不如向关系经理请求信息合理。</w:t>
      </w:r>
    </w:p>
    <w:p>
      <w:pPr>
        <w:spacing w:before="120" w:after="40"/>
      </w:pPr>
      <w:r>
        <w:rPr>
          <w:b/>
          <w:sz w:val="21"/>
          <w:shd w:fill="D6E4F0" w:val="clear"/>
        </w:rPr>
        <w:t>易错提醒：</w:t>
      </w:r>
    </w:p>
    <w:p>
      <w:pPr>
        <w:spacing w:line="360" w:lineRule="auto" w:after="40"/>
        <w:ind w:firstLine="420"/>
      </w:pPr>
      <w:r>
        <w:t>警报审查初期的信息收集与升级后的账户控制措施容易混淆。正确做法是：先通过关系经理等内部渠道获取关键信息以判断风险，确认可疑后才考虑强化监控或限制账户等预防措施</w:t>
      </w:r>
      <w:r>
        <w:rPr>
          <w:sz w:val="15"/>
          <w:vertAlign w:val="superscript"/>
        </w:rPr>
        <w:t>P335</w:t>
      </w:r>
      <w:r>
        <w:t>。</w:t>
      </w:r>
    </w:p>
    <w:p>
      <w:pPr>
        <w:spacing w:line="360" w:lineRule="auto" w:after="120"/>
      </w:pPr>
      <w:r/>
    </w:p>
    <w:p>
      <w:pPr>
        <w:spacing w:line="360" w:lineRule="auto" w:after="40"/>
      </w:pPr>
      <w:r>
        <w:t>3. 当调查人员开始就潜在可疑活动开展金融调查时，首先应采取哪项行动？</w:t>
      </w:r>
      <w:r>
        <w:br/>
      </w:r>
      <w:r>
        <w:t>What is the first step that an investigator should take when beginning a financial investigation into a potential suspicious activity?</w:t>
      </w:r>
    </w:p>
    <w:p>
      <w:pPr>
        <w:spacing w:line="360" w:lineRule="auto" w:after="20"/>
      </w:pPr>
      <w:r>
        <w:t>A.确定潜在可疑活动是否与客户的交易行为、业务性质和职业相符</w:t>
      </w:r>
      <w:r>
        <w:br/>
      </w:r>
      <w:r>
        <w:t>Determine whether the potential suspicious activity is consistent with the customer's transactional behavior, nature of business, and occupation</w:t>
      </w:r>
    </w:p>
    <w:p>
      <w:pPr>
        <w:spacing w:line="360" w:lineRule="auto" w:after="20"/>
      </w:pPr>
      <w:r>
        <w:t>B.联系该国金融情报机构（FIU）的官员，就潜在可疑活动是否确属可疑活动征求建议</w:t>
      </w:r>
      <w:r>
        <w:br/>
      </w:r>
      <w:r>
        <w:t>Contact the country's Financial Intelligence Unit (FIU) officers to seek advice on whether the potential suspicious activity is indeed suspicious</w:t>
      </w:r>
    </w:p>
    <w:p>
      <w:pPr>
        <w:spacing w:line="360" w:lineRule="auto" w:after="20"/>
      </w:pPr>
      <w:r>
        <w:t>C.收集并评估内部信息，包括客户资料、交易信息以及交易金额和交易量等</w:t>
      </w:r>
      <w:r>
        <w:br/>
      </w:r>
      <w:r>
        <w:t>Gather and assess internal sources of information, including information obtained from the customer, transactions, and transaction value and volume</w:t>
      </w:r>
    </w:p>
    <w:p>
      <w:pPr>
        <w:spacing w:line="360" w:lineRule="auto" w:after="20"/>
      </w:pPr>
      <w:r>
        <w:t>D.识别并审查外部信息，包括网络公开信息、与客户相关的实体以及相关媒体报道</w:t>
      </w:r>
      <w:r>
        <w:br/>
      </w:r>
      <w:r>
        <w:t>Identify and review external information, including web presence, entities associated with the customer, and relevant media</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金融调查的初始步骤：收集并评估内部客户及交易信息</w:t>
      </w:r>
    </w:p>
    <w:p>
      <w:pPr>
        <w:spacing w:before="120" w:after="40"/>
      </w:pPr>
      <w:r>
        <w:rPr>
          <w:b/>
          <w:sz w:val="21"/>
          <w:shd w:fill="D6E4F0" w:val="clear"/>
        </w:rPr>
        <w:t>核心解析：</w:t>
      </w:r>
    </w:p>
    <w:p>
      <w:pPr>
        <w:spacing w:line="360" w:lineRule="auto" w:after="40"/>
        <w:ind w:firstLine="420"/>
      </w:pPr>
      <w:r>
        <w:t>教材指出，</w:t>
      </w:r>
      <w:r>
        <w:rPr>
          <w:b/>
        </w:rPr>
        <w:t>收集充分信息对于判断警报是否有效和开展调查至关重要</w:t>
      </w:r>
      <w:r>
        <w:t>，负责审查和调查警报的人员应使用内部及外部信息作出决定</w:t>
      </w:r>
      <w:r>
        <w:rPr>
          <w:sz w:val="15"/>
          <w:vertAlign w:val="superscript"/>
        </w:rPr>
        <w:t>P337</w:t>
      </w:r>
      <w:r>
        <w:t>。内部信息是机构自身维护并可由审查人员访问的数据，包括客户资料、风险因素、历史行为和交易记录</w:t>
      </w:r>
      <w:r>
        <w:rPr>
          <w:sz w:val="15"/>
          <w:vertAlign w:val="superscript"/>
        </w:rPr>
        <w:t>P337</w:t>
      </w:r>
      <w:r>
        <w:t>。选项C要求先收集并评估客户资料、交易信息以及交易金额和交易量等内部信息，直接对应调查开始时的信息收集工作。</w:t>
      </w:r>
    </w:p>
    <w:p>
      <w:pPr>
        <w:spacing w:line="360" w:lineRule="auto" w:after="40"/>
        <w:ind w:firstLine="420"/>
      </w:pPr>
      <w:r>
        <w:t>教材在警报审查流程中进一步说明，分析师先评估警报性质、交易类型、客户资料和账户历史等数据点，随后通过分析判断活动是否符合客户的预期行为模式</w:t>
      </w:r>
      <w:r>
        <w:rPr>
          <w:sz w:val="15"/>
          <w:vertAlign w:val="superscript"/>
        </w:rPr>
        <w:t>P334</w:t>
      </w:r>
      <w:r>
        <w:t>。因此，选项A所述的一致性判断是对所收集信息进行分析后得到的结果，不是调查的第一步。外部资料能够为内部信息提供额外背景并帮助识别红旗</w:t>
      </w:r>
      <w:r>
        <w:rPr>
          <w:sz w:val="15"/>
          <w:vertAlign w:val="superscript"/>
        </w:rPr>
        <w:t>P337</w:t>
      </w:r>
      <w:r>
        <w:t>，但属于在内部资料基础上的补充，因此D也不如C符合“第一步”的要求。</w:t>
      </w:r>
    </w:p>
    <w:p>
      <w:pPr>
        <w:spacing w:before="120" w:after="40"/>
      </w:pPr>
      <w:r>
        <w:rPr>
          <w:b/>
          <w:sz w:val="21"/>
          <w:shd w:fill="D6E4F0" w:val="clear"/>
        </w:rPr>
        <w:t>教材原句：</w:t>
      </w:r>
    </w:p>
    <w:p>
      <w:pPr>
        <w:spacing w:line="360" w:lineRule="auto" w:after="40"/>
        <w:ind w:firstLine="420"/>
      </w:pPr>
      <w:r>
        <w:t>"Gathering sufficient information is important to determine an alert’s validity and/or conduct investigations."</w:t>
      </w:r>
    </w:p>
    <w:p>
      <w:pPr>
        <w:spacing w:before="120" w:after="40"/>
      </w:pPr>
      <w:r>
        <w:rPr>
          <w:b/>
          <w:sz w:val="21"/>
          <w:shd w:fill="D6E4F0" w:val="clear"/>
        </w:rPr>
        <w:t>A项错误：</w:t>
      </w:r>
    </w:p>
    <w:p>
      <w:pPr>
        <w:spacing w:line="360" w:lineRule="auto" w:after="40"/>
        <w:ind w:firstLine="420"/>
      </w:pPr>
      <w:r>
        <w:t>教材说明，分析师先评估警报性质、交易类型、客户资料和账户历史等数据点，相关分析随后帮助判断活动是否符合客户预期行为模式</w:t>
      </w:r>
      <w:r>
        <w:rPr>
          <w:sz w:val="15"/>
          <w:vertAlign w:val="superscript"/>
        </w:rPr>
        <w:t>P334</w:t>
      </w:r>
      <w:r>
        <w:t>。因此，A是信息收集和分析后的判断结果，不是开始调查时的第一项行动。</w:t>
      </w:r>
    </w:p>
    <w:p>
      <w:pPr>
        <w:spacing w:before="120" w:after="40"/>
      </w:pPr>
      <w:r>
        <w:rPr>
          <w:b/>
          <w:sz w:val="21"/>
          <w:shd w:fill="D6E4F0" w:val="clear"/>
        </w:rPr>
        <w:t>B项错误：</w:t>
      </w:r>
    </w:p>
    <w:p>
      <w:pPr>
        <w:spacing w:line="360" w:lineRule="auto" w:after="40"/>
        <w:ind w:firstLine="420"/>
      </w:pPr>
      <w:r>
        <w:t>题干问的是调查人员开始内部金融调查时首先应做什么。教材要求调查人员先收集充分信息并结合内外部材料作出判断</w:t>
      </w:r>
      <w:r>
        <w:rPr>
          <w:sz w:val="15"/>
          <w:vertAlign w:val="superscript"/>
        </w:rPr>
        <w:t>P337</w:t>
      </w:r>
      <w:r>
        <w:t>，没有将向FIU征求个案判断意见列为调查起点，因此B不如C符合教材流程。</w:t>
      </w:r>
    </w:p>
    <w:p>
      <w:pPr>
        <w:spacing w:before="120" w:after="40"/>
      </w:pPr>
      <w:r>
        <w:rPr>
          <w:b/>
          <w:sz w:val="21"/>
          <w:shd w:fill="D6E4F0" w:val="clear"/>
        </w:rPr>
        <w:t>D项错误：</w:t>
      </w:r>
    </w:p>
    <w:p>
      <w:pPr>
        <w:spacing w:line="360" w:lineRule="auto" w:after="40"/>
        <w:ind w:firstLine="420"/>
      </w:pPr>
      <w:r>
        <w:t>教材指出，外部信息为内部信息提供额外背景并帮助识别红旗</w:t>
      </w:r>
      <w:r>
        <w:rPr>
          <w:sz w:val="15"/>
          <w:vertAlign w:val="superscript"/>
        </w:rPr>
        <w:t>P337</w:t>
      </w:r>
      <w:r>
        <w:t>。D所列网络公开信息、关联实体和媒体报道具有调查价值，但属于对内部客户及交易数据的补充，不是四项中最合适的第一步。</w:t>
      </w:r>
    </w:p>
    <w:p>
      <w:pPr>
        <w:spacing w:before="120" w:after="40"/>
      </w:pPr>
      <w:r>
        <w:rPr>
          <w:b/>
          <w:sz w:val="21"/>
          <w:shd w:fill="D6E4F0" w:val="clear"/>
        </w:rPr>
        <w:t>易错提醒：</w:t>
      </w:r>
    </w:p>
    <w:p>
      <w:pPr>
        <w:spacing w:line="360" w:lineRule="auto" w:after="40"/>
        <w:ind w:firstLine="420"/>
      </w:pPr>
      <w:r>
        <w:t>判断调查步骤时，应区分“取得分析材料”与“形成分析结论”。内部客户及交易信息是判断活动是否符合客户画像的基础；先收集和评估这些信息，才能进行一致性判断。外部信息同样重要，但教材将其定位为向内部信息提供额外背景。</w:t>
      </w:r>
    </w:p>
    <w:p>
      <w:pPr>
        <w:spacing w:line="360" w:lineRule="auto" w:after="120"/>
      </w:pPr>
      <w:r/>
    </w:p>
    <w:p>
      <w:pPr>
        <w:spacing w:line="360" w:lineRule="auto" w:after="40"/>
      </w:pPr>
      <w:r>
        <w:t>4. 金融机构(FIs)在对法人客户进行客户尽职调查(CDD)措施时,必须采用基于风险的方法,具体为:</w:t>
      </w:r>
      <w:r>
        <w:br/>
      </w:r>
      <w:r>
        <w:t>Financial institutions (FIs) must use a risk-based approach in customer due diligence (CDD) measures for legal entity clients by:</w:t>
      </w:r>
    </w:p>
    <w:p>
      <w:pPr>
        <w:spacing w:line="360" w:lineRule="auto" w:after="20"/>
      </w:pPr>
      <w:r>
        <w:t>A.了解并获取有关业务关系可能面临的竞争的信息</w:t>
      </w:r>
      <w:r>
        <w:br/>
      </w:r>
      <w:r>
        <w:t>Understanding and obtaining information about the competition the business relationship could face</w:t>
      </w:r>
    </w:p>
    <w:p>
      <w:pPr>
        <w:spacing w:line="360" w:lineRule="auto" w:after="20"/>
      </w:pPr>
      <w:r>
        <w:t>B.利用互联网和社交媒体上的数据及信息识别客户身份</w:t>
      </w:r>
      <w:r>
        <w:br/>
      </w:r>
      <w:r>
        <w:t>Identifying a customer's identity using data and information from the internet and social media</w:t>
      </w:r>
    </w:p>
    <w:p>
      <w:pPr>
        <w:spacing w:line="360" w:lineRule="auto" w:after="20"/>
      </w:pPr>
      <w:r>
        <w:t>C.采取合理措施核实受益所有人的身份</w:t>
      </w:r>
      <w:r>
        <w:br/>
      </w:r>
      <w:r>
        <w:t>Taking reasonable measures to verify the identity of the beneficial owner</w:t>
      </w:r>
    </w:p>
    <w:p>
      <w:pPr>
        <w:spacing w:line="360" w:lineRule="auto" w:after="20"/>
      </w:pPr>
      <w:r>
        <w:t>D.持续分析业务关系的盈利能力</w:t>
      </w:r>
      <w:r>
        <w:br/>
      </w:r>
      <w:r>
        <w:t>Conducting ongoing analysis of the business relationship's profitability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风险为本方法下，法人客户CDD必须核实受益所有人身份</w:t>
      </w:r>
    </w:p>
    <w:p>
      <w:pPr>
        <w:spacing w:before="120" w:after="40"/>
      </w:pPr>
      <w:r>
        <w:rPr>
          <w:b/>
          <w:sz w:val="21"/>
          <w:shd w:fill="D6E4F0" w:val="clear"/>
        </w:rPr>
        <w:t>核心解析：</w:t>
      </w:r>
    </w:p>
    <w:p>
      <w:pPr>
        <w:spacing w:line="360" w:lineRule="auto" w:after="40"/>
        <w:ind w:firstLine="420"/>
      </w:pPr>
      <w:r>
        <w:t>FATF要求金融机构采取</w:t>
      </w:r>
      <w:r>
        <w:rPr>
          <w:b/>
        </w:rPr>
        <w:t>风险为本方法</w:t>
      </w:r>
      <w:r>
        <w:t>，采取合理措施</w:t>
      </w:r>
      <w:r>
        <w:rPr>
          <w:b/>
        </w:rPr>
        <w:t>核实受益所有人身份</w:t>
      </w:r>
      <w:r>
        <w:rPr>
          <w:sz w:val="15"/>
          <w:vertAlign w:val="superscript"/>
        </w:rPr>
        <w:t>P339</w:t>
      </w:r>
      <w:r>
        <w:t>；对法人还需了解</w:t>
      </w:r>
      <w:r>
        <w:rPr>
          <w:b/>
        </w:rPr>
        <w:t>所有权和控制结构</w:t>
      </w:r>
      <w:r>
        <w:rPr>
          <w:sz w:val="15"/>
          <w:vertAlign w:val="superscript"/>
        </w:rPr>
        <w:t>P311</w:t>
      </w:r>
      <w:r>
        <w:t>。题干所问正是金融机构对法人客户CDD时贯彻风险为本方法的具体举措，选项C“采取合理措施核实受益所有人的身份”直接吻合该规定。</w:t>
      </w:r>
    </w:p>
    <w:p>
      <w:pPr>
        <w:spacing w:before="120" w:after="40"/>
      </w:pPr>
      <w:r>
        <w:rPr>
          <w:b/>
          <w:sz w:val="21"/>
          <w:shd w:fill="D6E4F0" w:val="clear"/>
        </w:rPr>
        <w:t>A项错误：</w:t>
      </w:r>
    </w:p>
    <w:p>
      <w:pPr>
        <w:spacing w:line="360" w:lineRule="auto" w:after="40"/>
        <w:ind w:firstLine="420"/>
      </w:pPr>
      <w:r>
        <w:t>了解并获取竞争信息并非CDD风险为本框架的典型内容；教材在KYC/CDD步骤中要求了解业务关系的“目的和预期性质”</w:t>
      </w:r>
      <w:r>
        <w:rPr>
          <w:sz w:val="15"/>
          <w:vertAlign w:val="superscript"/>
        </w:rPr>
        <w:t>P305</w:t>
      </w:r>
      <w:r>
        <w:t>，与竞争信息的匹配度不如受益所有人核实直接。</w:t>
      </w:r>
    </w:p>
    <w:p>
      <w:pPr>
        <w:spacing w:before="120" w:after="40"/>
      </w:pPr>
      <w:r>
        <w:rPr>
          <w:b/>
          <w:sz w:val="21"/>
          <w:shd w:fill="D6E4F0" w:val="clear"/>
        </w:rPr>
        <w:t>B项错误：</w:t>
      </w:r>
    </w:p>
    <w:p>
      <w:pPr>
        <w:spacing w:line="360" w:lineRule="auto" w:after="40"/>
        <w:ind w:firstLine="420"/>
      </w:pPr>
      <w:r>
        <w:t>利用互联网和社交媒体数据识别客户身份，更多涉及负面媒体筛查或身份识别技术，而非针对法人客户风险为本方法的受益所有人核实。教材强调对法人需采取合理措施核实受益所有人</w:t>
      </w:r>
      <w:r>
        <w:rPr>
          <w:sz w:val="15"/>
          <w:vertAlign w:val="superscript"/>
        </w:rPr>
        <w:t>P339</w:t>
      </w:r>
      <w:r>
        <w:t>，选项B的侧重点与该核心要求不完全重合。</w:t>
      </w:r>
    </w:p>
    <w:p>
      <w:pPr>
        <w:spacing w:before="120" w:after="40"/>
      </w:pPr>
      <w:r>
        <w:rPr>
          <w:b/>
          <w:sz w:val="21"/>
          <w:shd w:fill="D6E4F0" w:val="clear"/>
        </w:rPr>
        <w:t>D项错误：</w:t>
      </w:r>
    </w:p>
    <w:p>
      <w:pPr>
        <w:spacing w:line="360" w:lineRule="auto" w:after="40"/>
        <w:ind w:firstLine="420"/>
      </w:pPr>
      <w:r>
        <w:t>持续分析业务关系的盈利能力，属于经营风险或商业评估范畴，并非CDD风险为本方法中法定的履职措施。CDD重点在于所有权、控制结构和受益所有人核实</w:t>
      </w:r>
      <w:r>
        <w:rPr>
          <w:sz w:val="15"/>
          <w:vertAlign w:val="superscript"/>
        </w:rPr>
        <w:t>P311、P339</w:t>
      </w:r>
      <w:r>
        <w:t>，盈利分析与题干要求的关联度远低于选项C。</w:t>
      </w:r>
    </w:p>
    <w:p>
      <w:pPr>
        <w:spacing w:before="120" w:after="40"/>
      </w:pPr>
      <w:r>
        <w:rPr>
          <w:b/>
          <w:sz w:val="21"/>
          <w:shd w:fill="D6E4F0" w:val="clear"/>
        </w:rPr>
        <w:t>易错提醒：</w:t>
      </w:r>
    </w:p>
    <w:p>
      <w:pPr>
        <w:spacing w:line="360" w:lineRule="auto" w:after="40"/>
        <w:ind w:firstLine="420"/>
      </w:pPr>
      <w:r>
        <w:t>KYC/CDD流程中，身份识别（收集企业名称、注册数据等）与核实受益所有人身份是不同步骤；风险为本方法对法人客户特别要求以合理措施核实受益所有人并了解控制结构</w:t>
      </w:r>
      <w:r>
        <w:rPr>
          <w:sz w:val="15"/>
          <w:vertAlign w:val="superscript"/>
        </w:rPr>
        <w:t>P311、P339</w:t>
      </w:r>
      <w:r>
        <w:t>，而非仅做一般身份识别或依赖网络信息。</w:t>
      </w:r>
    </w:p>
    <w:p>
      <w:pPr>
        <w:spacing w:line="360" w:lineRule="auto" w:after="120"/>
      </w:pPr>
      <w:r/>
    </w:p>
    <w:p>
      <w:pPr>
        <w:spacing w:line="360" w:lineRule="auto" w:after="40"/>
      </w:pPr>
      <w:r>
        <w:t>5. 在私人银行内部,哪个职位最能发现并报告洗钱风险？</w:t>
      </w:r>
      <w:r>
        <w:br/>
      </w:r>
      <w:r>
        <w:t>Which role within private banking is best placed to identify and report money laundering risk?</w:t>
      </w:r>
    </w:p>
    <w:p>
      <w:pPr>
        <w:spacing w:line="360" w:lineRule="auto" w:after="20"/>
      </w:pPr>
      <w:r>
        <w:t>A.投资顾问</w:t>
      </w:r>
      <w:r>
        <w:br/>
      </w:r>
      <w:r>
        <w:t>Investment advisor</w:t>
      </w:r>
    </w:p>
    <w:p>
      <w:pPr>
        <w:spacing w:line="360" w:lineRule="auto" w:after="20"/>
      </w:pPr>
      <w:r>
        <w:t>B.客户经理</w:t>
      </w:r>
      <w:r>
        <w:br/>
      </w:r>
      <w:r>
        <w:t>Relationship manager</w:t>
      </w:r>
    </w:p>
    <w:p>
      <w:pPr>
        <w:spacing w:line="360" w:lineRule="auto" w:after="20"/>
      </w:pPr>
      <w:r>
        <w:t>C.运营经理</w:t>
      </w:r>
      <w:r>
        <w:br/>
      </w:r>
      <w:r>
        <w:t>Operations manager</w:t>
      </w:r>
    </w:p>
    <w:p>
      <w:pPr>
        <w:spacing w:line="360" w:lineRule="auto" w:after="20"/>
      </w:pPr>
      <w:r>
        <w:t>D.合规官</w:t>
      </w:r>
      <w:r>
        <w:br/>
      </w:r>
      <w:r>
        <w:t>Compliance officer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私人银行中各岗位识别洗钱风险的能力比较，核心在客户接触频率与信任关系</w:t>
      </w:r>
    </w:p>
    <w:p>
      <w:pPr>
        <w:spacing w:before="120" w:after="40"/>
      </w:pPr>
      <w:r>
        <w:rPr>
          <w:b/>
          <w:sz w:val="21"/>
          <w:shd w:fill="D6E4F0" w:val="clear"/>
        </w:rPr>
        <w:t>核心解析：</w:t>
      </w:r>
    </w:p>
    <w:p>
      <w:pPr>
        <w:spacing w:line="360" w:lineRule="auto" w:after="40"/>
        <w:ind w:firstLine="420"/>
      </w:pPr>
      <w:r>
        <w:t>判断哪个岗位的位置最有利，应看谁</w:t>
      </w:r>
      <w:r>
        <w:rPr>
          <w:b/>
        </w:rPr>
        <w:t>最接近客户、能够开展客户沟通</w:t>
      </w:r>
      <w:r>
        <w:t>并把取得的一手信息传递给分析人员。客户经理（relationship manager）或一线员工最适合开展客户沟通并将发现传递给分析人员，因为他们可以直接联系客户或合作机构，补充内部系统无法提供的信息</w:t>
      </w:r>
      <w:r>
        <w:rPr>
          <w:sz w:val="15"/>
          <w:vertAlign w:val="superscript"/>
        </w:rPr>
        <w:t>P339</w:t>
      </w:r>
      <w:r>
        <w:t>。在私人银行场景中，客户经理与客户之间还存在保密与信任关系，但这种密切关系也可能使客户经理为了维护客户关系而</w:t>
      </w:r>
      <w:r>
        <w:rPr>
          <w:b/>
        </w:rPr>
        <w:t>忽视警示信号</w:t>
      </w:r>
      <w:r>
        <w:rPr>
          <w:sz w:val="15"/>
          <w:vertAlign w:val="superscript"/>
        </w:rPr>
        <w:t>P71</w:t>
      </w:r>
      <w:r>
        <w:t>。因此，B所体现的是客户经理在获取和传递客户信息方面的位置优势，并不表示其专业判断在所有岗位中都更强。</w:t>
      </w:r>
    </w:p>
    <w:p>
      <w:pPr>
        <w:spacing w:before="120" w:after="40"/>
      </w:pPr>
      <w:r>
        <w:rPr>
          <w:b/>
          <w:sz w:val="21"/>
          <w:shd w:fill="D6E4F0" w:val="clear"/>
        </w:rPr>
        <w:t>教材原句：</w:t>
      </w:r>
    </w:p>
    <w:p>
      <w:pPr>
        <w:spacing w:line="360" w:lineRule="auto" w:after="40"/>
        <w:ind w:firstLine="420"/>
      </w:pPr>
      <w:r>
        <w:t>"Relationship managers and front line staff are best positioned to conduct customer outreach and communicate findings to analysts."</w:t>
      </w:r>
    </w:p>
    <w:p>
      <w:pPr>
        <w:spacing w:before="120" w:after="40"/>
      </w:pPr>
      <w:r>
        <w:rPr>
          <w:b/>
          <w:sz w:val="21"/>
          <w:shd w:fill="D6E4F0" w:val="clear"/>
        </w:rPr>
        <w:t>A项错误：</w:t>
      </w:r>
    </w:p>
    <w:p>
      <w:pPr>
        <w:spacing w:line="360" w:lineRule="auto" w:after="40"/>
        <w:ind w:firstLine="420"/>
      </w:pPr>
      <w:r>
        <w:t>教材在证券和经纪服务中列举的资本市场研究、投资组合管理和基金分销等服务</w:t>
      </w:r>
      <w:r>
        <w:rPr>
          <w:sz w:val="15"/>
          <w:vertAlign w:val="superscript"/>
        </w:rPr>
        <w:t>P103</w:t>
      </w:r>
      <w:r>
        <w:t>，与投资顾问的业务侧重点更接近。相比之下，题干所问的位置优势更直接对应能够开展客户沟通并向分析人员传递信息的客户经理</w:t>
      </w:r>
      <w:r>
        <w:rPr>
          <w:sz w:val="15"/>
          <w:vertAlign w:val="superscript"/>
        </w:rPr>
        <w:t>P339</w:t>
      </w:r>
      <w:r>
        <w:t>。</w:t>
      </w:r>
    </w:p>
    <w:p>
      <w:pPr>
        <w:spacing w:before="120" w:after="40"/>
      </w:pPr>
      <w:r>
        <w:rPr>
          <w:b/>
          <w:sz w:val="21"/>
          <w:shd w:fill="D6E4F0" w:val="clear"/>
        </w:rPr>
        <w:t>C项错误：</w:t>
      </w:r>
    </w:p>
    <w:p>
      <w:pPr>
        <w:spacing w:line="360" w:lineRule="auto" w:after="40"/>
        <w:ind w:firstLine="420"/>
      </w:pPr>
      <w:r>
        <w:t>运营经理执行交易并实施操作程序，“以内部检测和报告可疑活动”</w:t>
      </w:r>
      <w:r>
        <w:rPr>
          <w:sz w:val="15"/>
          <w:vertAlign w:val="superscript"/>
        </w:rPr>
        <w:t>P247</w:t>
      </w:r>
      <w:r>
        <w:t>，也能提供产品使用模式的洞察</w:t>
      </w:r>
      <w:r>
        <w:rPr>
          <w:sz w:val="15"/>
          <w:vertAlign w:val="superscript"/>
        </w:rPr>
        <w:t>P286</w:t>
      </w:r>
      <w:r>
        <w:t>，但其工作对象是交易流程和系统数据，而非直接面向客户。相比之下，题干要求的“发现”能力更依赖于对客户本人及其行为的直接了解，这在教材框架下更吻合客户经理的角色而非运营执行角色。</w:t>
      </w:r>
    </w:p>
    <w:p>
      <w:pPr>
        <w:spacing w:before="120" w:after="40"/>
      </w:pPr>
      <w:r>
        <w:rPr>
          <w:b/>
          <w:sz w:val="21"/>
          <w:shd w:fill="D6E4F0" w:val="clear"/>
        </w:rPr>
        <w:t>D项错误：</w:t>
      </w:r>
    </w:p>
    <w:p>
      <w:pPr>
        <w:spacing w:line="360" w:lineRule="auto" w:after="40"/>
        <w:ind w:firstLine="420"/>
      </w:pPr>
      <w:r>
        <w:t>合规官负责“评估信息并决定应采取的行动”</w:t>
      </w:r>
      <w:r>
        <w:rPr>
          <w:sz w:val="15"/>
          <w:vertAlign w:val="superscript"/>
        </w:rPr>
        <w:t>P351</w:t>
      </w:r>
      <w:r>
        <w:t>，在收到可疑情况报告后发挥关键作用。其职能集中在接收和处理已上报的信息，而非在客户关系中主动发现原始风险信号。题干问的是从源头上“发现”风险的最佳位置，这与教材中客户经理作为信息获取第一线的角色更匹配，合规官更偏向后续评估和决策环节。</w:t>
      </w:r>
    </w:p>
    <w:p>
      <w:pPr>
        <w:spacing w:before="120" w:after="40"/>
      </w:pPr>
      <w:r>
        <w:rPr>
          <w:b/>
          <w:sz w:val="21"/>
          <w:shd w:fill="D6E4F0" w:val="clear"/>
        </w:rPr>
        <w:t>易错提醒：</w:t>
      </w:r>
    </w:p>
    <w:p>
      <w:pPr>
        <w:spacing w:line="360" w:lineRule="auto" w:after="40"/>
        <w:ind w:firstLine="420"/>
      </w:pPr>
      <w:r>
        <w:t>合规官负责接收报告后的评估与决策</w:t>
      </w:r>
      <w:r>
        <w:rPr>
          <w:sz w:val="15"/>
          <w:vertAlign w:val="superscript"/>
        </w:rPr>
        <w:t>P351</w:t>
      </w:r>
      <w:r>
        <w:t>，客户经理负责在客户关系中捕捉原始可疑信号并传递信息</w:t>
      </w:r>
      <w:r>
        <w:rPr>
          <w:sz w:val="15"/>
          <w:vertAlign w:val="superscript"/>
        </w:rPr>
        <w:t>P339</w:t>
      </w:r>
      <w:r>
        <w:t>，两者在反洗钱流程中的分工经常被混淆——题干中“发现”对应的是信息来源端而非信息处理端。</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