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CH09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一个健全的反洗钱合规计划需要一个全面的治理框架,涵盖关键要素,以确保金融体系的完整性.哪个要素构成有效的反洗钱合规计划的起点？</w:t>
      </w:r>
      <w:r>
        <w:br/>
      </w:r>
      <w:r>
        <w:t>A sound AML compliance program requires a comprehensive governance framework that addresses key elements to ensure the integrity of the financial system. Which element forms the starting point of an effective AML compliance program?</w:t>
      </w:r>
    </w:p>
    <w:p>
      <w:pPr>
        <w:spacing w:line="360" w:lineRule="auto" w:after="20"/>
      </w:pPr>
      <w:r>
        <w:t>A.持续监测</w:t>
      </w:r>
      <w:r>
        <w:br/>
      </w:r>
      <w:r>
        <w:t>Ongoing monitoring</w:t>
      </w:r>
    </w:p>
    <w:p>
      <w:pPr>
        <w:spacing w:line="360" w:lineRule="auto" w:after="20"/>
      </w:pPr>
      <w:r>
        <w:t>B.风险评估</w:t>
      </w:r>
      <w:r>
        <w:br/>
      </w:r>
      <w:r>
        <w:t>Risk assessment</w:t>
      </w:r>
    </w:p>
    <w:p>
      <w:pPr>
        <w:spacing w:line="360" w:lineRule="auto" w:after="20"/>
      </w:pPr>
      <w:r>
        <w:t>C.政策与程序</w:t>
      </w:r>
      <w:r>
        <w:br/>
      </w:r>
      <w:r>
        <w:t>Policies and procedures</w:t>
      </w:r>
    </w:p>
    <w:p>
      <w:pPr>
        <w:spacing w:line="360" w:lineRule="auto" w:after="20"/>
      </w:pPr>
      <w:r>
        <w:t>D.可疑活动报告</w:t>
      </w:r>
      <w:r>
        <w:br/>
      </w:r>
      <w:r>
        <w:t>Suspicious activity reporting</w:t>
      </w:r>
    </w:p>
    <w:p>
      <w:pPr>
        <w:spacing w:line="360" w:lineRule="auto" w:after="20"/>
      </w:pPr>
      <w:r>
        <w:t>E.客户尽职调查</w:t>
      </w:r>
      <w:r>
        <w:br/>
      </w:r>
      <w:r>
        <w:t>Customer due diligence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风险评估对AML政策、系统和控制设计的前置作用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风险评估流程是健全风险管理项目的基础</w:t>
      </w:r>
      <w:r>
        <w:rPr>
          <w:sz w:val="15"/>
          <w:vertAlign w:val="superscript"/>
        </w:rPr>
        <w:t>P265</w:t>
      </w:r>
      <w:r>
        <w:t>，其目标是识别、评估和缓解风险，并配置适当控制</w:t>
      </w:r>
      <w:r>
        <w:rPr>
          <w:sz w:val="15"/>
          <w:vertAlign w:val="superscript"/>
        </w:rPr>
        <w:t>P269</w:t>
      </w:r>
      <w:r>
        <w:t>。风险评估结果会影响机构的政策、程序、系统、资源、人员配置和培训</w:t>
      </w:r>
      <w:r>
        <w:rPr>
          <w:sz w:val="15"/>
          <w:vertAlign w:val="superscript"/>
        </w:rPr>
        <w:t>P281</w:t>
      </w:r>
      <w:r>
        <w:t>；在交易监控场景中，金融机构也是先完成风险评估，再根据已识别的威胁设计AML系统并实施交易监控规则和模型</w:t>
      </w:r>
      <w:r>
        <w:rPr>
          <w:sz w:val="15"/>
          <w:vertAlign w:val="superscript"/>
        </w:rPr>
        <w:t>P449</w:t>
      </w:r>
      <w:r>
        <w:t>。因此，从风险为本计划的设计顺序看，机构需要</w:t>
      </w:r>
      <w:r>
        <w:rPr>
          <w:b/>
        </w:rPr>
        <w:t>先认识自身风险，再据此配置政策、系统和控制措施</w:t>
      </w:r>
      <w:r>
        <w:t>，B最符合题意。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"The risk assessment process is the foundation of a strong risk management program."</w:t>
      </w:r>
      <w:r>
        <w:rPr>
          <w:sz w:val="15"/>
          <w:vertAlign w:val="superscript"/>
        </w:rPr>
        <w:t>P265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持续监测是控制运行环节。教材明确描述金融机构在完成风险评估后，才根据已识别的威胁设计AML系统并实施交易监控规则和模型</w:t>
      </w:r>
      <w:r>
        <w:rPr>
          <w:sz w:val="15"/>
          <w:vertAlign w:val="superscript"/>
        </w:rPr>
        <w:t>P449</w:t>
      </w:r>
      <w:r>
        <w:t>，因此持续监测属于风险识别和评估后的控制措施，不是整个计划的逻辑起点。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内部政策与控制体系确实是有效AML计划的“第一大支柱”</w:t>
      </w:r>
      <w:r>
        <w:rPr>
          <w:sz w:val="15"/>
          <w:vertAlign w:val="superscript"/>
        </w:rPr>
        <w:t>P244</w:t>
      </w:r>
      <w:r>
        <w:t>，但“第一支柱”是计划构成要素的排列编号，不等于风险为本设计中的逻辑起点。教材同时指出，风险评估结果会影响政策和程序</w:t>
      </w:r>
      <w:r>
        <w:rPr>
          <w:sz w:val="15"/>
          <w:vertAlign w:val="superscript"/>
        </w:rPr>
        <w:t>P281</w:t>
      </w:r>
      <w:r>
        <w:t>，说明其具体设计需要结合机构已经识别和评估的风险。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教材称可疑活动报告是“AFC报告体系”的基础</w:t>
      </w:r>
      <w:r>
        <w:rPr>
          <w:sz w:val="15"/>
          <w:vertAlign w:val="superscript"/>
        </w:rPr>
        <w:t>P359</w:t>
      </w:r>
      <w:r>
        <w:t>，其重要性限定在报告子系统内，不能据此推断它是整个AML合规计划的起点。风险评估为监测和报告机制提供风险输入，SAR则是具体可疑活动被识别后形成的报告输出。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CDD是AML计划的第五大支柱，要求机构识别并验证客户身份</w:t>
      </w:r>
      <w:r>
        <w:rPr>
          <w:sz w:val="15"/>
          <w:vertAlign w:val="superscript"/>
        </w:rPr>
        <w:t>P245</w:t>
      </w:r>
      <w:r>
        <w:t>。教材还说明，客户和交易风险评估用于识别高风险客户和交易，并据此采取强化尽职调查（EDD）</w:t>
      </w:r>
      <w:r>
        <w:rPr>
          <w:sz w:val="15"/>
          <w:vertAlign w:val="superscript"/>
        </w:rPr>
        <w:t>P254</w:t>
      </w:r>
      <w:r>
        <w:t>。因此CDD是针对具体客户落实风险控制的环节，其强度会受到风险评估结果影响，不是全套计划的逻辑起点。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“第一大支柱”“某一子系统的基础”和“整个计划的逻辑起点”是三个不同概念。政策与控制是AML计划的第一大支柱</w:t>
      </w:r>
      <w:r>
        <w:rPr>
          <w:sz w:val="15"/>
          <w:vertAlign w:val="superscript"/>
        </w:rPr>
        <w:t>P244</w:t>
      </w:r>
      <w:r>
        <w:t>，SAR是AFC报告体系的基础</w:t>
      </w:r>
      <w:r>
        <w:rPr>
          <w:sz w:val="15"/>
          <w:vertAlign w:val="superscript"/>
        </w:rPr>
        <w:t>P359</w:t>
      </w:r>
      <w:r>
        <w:t>；风险评估则为政策、程序、系统、资源和控制措施提供风险输入</w:t>
      </w:r>
      <w:r>
        <w:rPr>
          <w:sz w:val="15"/>
          <w:vertAlign w:val="superscript"/>
        </w:rPr>
        <w:t>P265、P269、P281</w:t>
      </w:r>
      <w:r>
        <w:t>。判断本题时，不能只看教材中的序号或“基础”一词，还要看哪个要素在风险为本设计中为其他要素提供前置信息。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