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CH13 (中英对照)</w:t>
      </w:r>
    </w:p>
    <w:p>
      <w:pPr>
        <w:spacing w:line="360" w:lineRule="auto" w:after="160"/>
      </w:pPr>
      <w:r>
        <w:t>一、单项选择题</w:t>
      </w:r>
    </w:p>
    <w:p>
      <w:pPr>
        <w:spacing w:line="360" w:lineRule="auto" w:after="40"/>
      </w:pPr>
      <w:r>
        <w:t>1. 金融机构(FIs)应当了解其他司法管辖区的反金融犯罪(AFC)和制裁监管制度，这一点至关重要，以便:</w:t>
      </w:r>
      <w:r>
        <w:br/>
      </w:r>
      <w:r>
        <w:t>It is important for financial institutions (FIs) to be aware of anti-financial crime (AFC) and sanctions regulatory regimes in other jurisdictions in order to:</w:t>
      </w:r>
    </w:p>
    <w:p>
      <w:pPr>
        <w:spacing w:line="360" w:lineRule="auto" w:after="20"/>
      </w:pPr>
      <w:r>
        <w:t>A.确保遵守FI在其运营或有业务关系的所有国家的反洗钱和制裁要求，以避免因违反外国司法管辖区的规定而受到处罚</w:t>
      </w:r>
      <w:r>
        <w:br/>
      </w:r>
      <w:r>
        <w:t>Maintain compliance with the AFC and sanctions requirements of all countries where the FI operates or has business relationships and avoid penalties for violations in foreign jurisdictions</w:t>
      </w:r>
    </w:p>
    <w:p>
      <w:pPr>
        <w:spacing w:line="360" w:lineRule="auto" w:after="20"/>
      </w:pPr>
      <w:r>
        <w:t>B.确保根据业务活动所在国的监管标准有选择地实施制裁制度，重点针对与本国监管标准一致的司法管辖区</w:t>
      </w:r>
      <w:r>
        <w:br/>
      </w:r>
      <w:r>
        <w:t>Ensure that sanctions regimes are applied selectively based on the regulatory standards of the countries where business activities occur, focusing primarily on aligned jurisdictions</w:t>
      </w:r>
    </w:p>
    <w:p>
      <w:pPr>
        <w:spacing w:line="360" w:lineRule="auto" w:after="20"/>
      </w:pPr>
      <w:r>
        <w:t>C.弥补反金融犯罪和制裁法规对跨境交易适用性有限，以及这些法规与其他司法管辖区境内业务的相关性较低所带来的不足</w:t>
      </w:r>
      <w:r>
        <w:br/>
      </w:r>
      <w:r>
        <w:t>Compensate for the limited applicability of AFC and sanctions regulations on cross-border transactions and their reduced relevance to domestic business in other jurisdictions</w:t>
      </w:r>
    </w:p>
    <w:p>
      <w:pPr>
        <w:spacing w:line="360" w:lineRule="auto" w:after="20"/>
      </w:pPr>
      <w:r>
        <w:t>D.确保FI能够在监管比其本国更严格或更宽松的司法管辖区管理业务关系，从而实现运营灵活性</w:t>
      </w:r>
      <w:r>
        <w:br/>
      </w:r>
      <w:r>
        <w:t>Ensure that FIs can manage business relationships in jurisdictions with stricter or more lenient regulations than their home jurisdiction, providing operational flexibility</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多司法辖区AFC与制裁制度的合规目的及适用范围</w:t>
      </w:r>
    </w:p>
    <w:p>
      <w:pPr>
        <w:spacing w:before="120" w:after="40"/>
      </w:pPr>
      <w:r>
        <w:rPr>
          <w:b/>
          <w:sz w:val="21"/>
          <w:shd w:fill="D6E4F0" w:val="clear"/>
        </w:rPr>
        <w:t>核心解析：</w:t>
      </w:r>
    </w:p>
    <w:p>
      <w:pPr>
        <w:spacing w:line="360" w:lineRule="auto" w:after="40"/>
        <w:ind w:firstLine="420"/>
      </w:pPr>
      <w:r>
        <w:t>教材明确，金融机构必须及时了解多个司法辖区的反金融犯罪（AFC）法规，以确保合规并有效管理风险</w:t>
      </w:r>
      <w:r>
        <w:rPr>
          <w:sz w:val="15"/>
          <w:vertAlign w:val="superscript"/>
        </w:rPr>
        <w:t>P388</w:t>
      </w:r>
      <w:r>
        <w:t>。同时，组织是否需要遵守其他制裁制度，取决于自身地域足迹，以及客户、供应商和其他第三方活动造成的</w:t>
      </w:r>
      <w:r>
        <w:rPr>
          <w:b/>
        </w:rPr>
        <w:t>司法管辖暴露</w:t>
      </w:r>
      <w:r>
        <w:rPr>
          <w:sz w:val="15"/>
          <w:vertAlign w:val="superscript"/>
        </w:rPr>
        <w:t>P207</w:t>
      </w:r>
      <w:r>
        <w:t>。据此，A在四个选项中最符合题干目的，因为它强调遵守相关AFC与制裁要求并避免违规后果；但其中“所有有业务关系的国家”不能脱离适用性条件作绝对理解，应限于因实际地域足迹或司法管辖暴露而适用的相关要求。跨国机构还应使政策与具体国家法律对齐，同时维持全球AFC原则</w:t>
      </w:r>
      <w:r>
        <w:rPr>
          <w:sz w:val="15"/>
          <w:vertAlign w:val="superscript"/>
        </w:rPr>
        <w:t>P292</w:t>
      </w:r>
      <w:r>
        <w:t>。</w:t>
      </w:r>
    </w:p>
    <w:p>
      <w:pPr>
        <w:spacing w:before="120" w:after="40"/>
      </w:pPr>
      <w:r>
        <w:rPr>
          <w:b/>
          <w:sz w:val="21"/>
          <w:shd w:fill="D6E4F0" w:val="clear"/>
        </w:rPr>
        <w:t>教材原句：</w:t>
      </w:r>
    </w:p>
    <w:p>
      <w:pPr>
        <w:spacing w:line="360" w:lineRule="auto" w:after="40"/>
        <w:ind w:firstLine="420"/>
      </w:pPr>
      <w:r>
        <w:t>"Financial institutions must stay up to date with AFC regulations across multiple jurisdictions to ensure compliance and manage risks effectively."</w:t>
      </w:r>
    </w:p>
    <w:p>
      <w:pPr>
        <w:spacing w:before="120" w:after="40"/>
      </w:pPr>
      <w:r>
        <w:rPr>
          <w:b/>
          <w:sz w:val="21"/>
          <w:shd w:fill="D6E4F0" w:val="clear"/>
        </w:rPr>
        <w:t>B项错误：</w:t>
      </w:r>
    </w:p>
    <w:p>
      <w:pPr>
        <w:spacing w:line="360" w:lineRule="auto" w:after="40"/>
        <w:ind w:firstLine="420"/>
      </w:pPr>
      <w:r>
        <w:t>教材要求跨国机构使政策与具体国家法律对齐，同时维持全球AFC原则，某些辖区还可能需要实施更高标准</w:t>
      </w:r>
      <w:r>
        <w:rPr>
          <w:sz w:val="15"/>
          <w:vertAlign w:val="superscript"/>
        </w:rPr>
        <w:t>P292</w:t>
      </w:r>
      <w:r>
        <w:t>。B所称“有选择地”实施制裁制度并只关注与本国标准一致的辖区，会遗漏实际适用但标准不同的监管要求，因此不如A符合合规目的。</w:t>
      </w:r>
    </w:p>
    <w:p>
      <w:pPr>
        <w:spacing w:before="120" w:after="40"/>
      </w:pPr>
      <w:r>
        <w:rPr>
          <w:b/>
          <w:sz w:val="21"/>
          <w:shd w:fill="D6E4F0" w:val="clear"/>
        </w:rPr>
        <w:t>C项错误：</w:t>
      </w:r>
    </w:p>
    <w:p>
      <w:pPr>
        <w:spacing w:line="360" w:lineRule="auto" w:after="40"/>
        <w:ind w:firstLine="420"/>
      </w:pPr>
      <w:r>
        <w:t>教材指出，跨境交易会因各司法辖区在资金流动、货币管制、制裁和监管报告方面的法律差异而增加合规复杂性</w:t>
      </w:r>
      <w:r>
        <w:rPr>
          <w:sz w:val="15"/>
          <w:vertAlign w:val="superscript"/>
        </w:rPr>
        <w:t>P95</w:t>
      </w:r>
      <w:r>
        <w:t>；其他制裁制度是否适用则取决于地域足迹和具体司法管辖暴露</w:t>
      </w:r>
      <w:r>
        <w:rPr>
          <w:sz w:val="15"/>
          <w:vertAlign w:val="superscript"/>
        </w:rPr>
        <w:t>P207</w:t>
      </w:r>
      <w:r>
        <w:t>。C把了解外国制度解释为补偿法规“有限适用性”和“相关性降低”，没有对应教材所述的适用性判断与风险管理逻辑。</w:t>
      </w:r>
    </w:p>
    <w:p>
      <w:pPr>
        <w:spacing w:before="120" w:after="40"/>
      </w:pPr>
      <w:r>
        <w:rPr>
          <w:b/>
          <w:sz w:val="21"/>
          <w:shd w:fill="D6E4F0" w:val="clear"/>
        </w:rPr>
        <w:t>D项错误：</w:t>
      </w:r>
    </w:p>
    <w:p>
      <w:pPr>
        <w:spacing w:line="360" w:lineRule="auto" w:after="40"/>
        <w:ind w:firstLine="420"/>
      </w:pPr>
      <w:r>
        <w:t>监管标准严格程度不同，确实会影响跨境业务管理，但教材将了解多司法辖区法规的直接目的界定为确保合规和有效管理风险</w:t>
      </w:r>
      <w:r>
        <w:rPr>
          <w:sz w:val="15"/>
          <w:vertAlign w:val="superscript"/>
        </w:rPr>
        <w:t>P388</w:t>
      </w:r>
      <w:r>
        <w:t>，并要求政策与具体国家法律对齐</w:t>
      </w:r>
      <w:r>
        <w:rPr>
          <w:sz w:val="15"/>
          <w:vertAlign w:val="superscript"/>
        </w:rPr>
        <w:t>P292</w:t>
      </w:r>
      <w:r>
        <w:t>。D把目的落在“运营灵活性”，不如A直接匹配题干所问的合规目的。</w:t>
      </w:r>
    </w:p>
    <w:p>
      <w:pPr>
        <w:spacing w:before="120" w:after="40"/>
      </w:pPr>
      <w:r>
        <w:rPr>
          <w:b/>
          <w:sz w:val="21"/>
          <w:shd w:fill="D6E4F0" w:val="clear"/>
        </w:rPr>
        <w:t>易错提醒：</w:t>
      </w:r>
    </w:p>
    <w:p>
      <w:pPr>
        <w:spacing w:line="360" w:lineRule="auto" w:after="40"/>
        <w:ind w:firstLine="420"/>
      </w:pPr>
      <w:r>
        <w:t>“需要了解哪些国家的制度”与“哪些外国制度实际适用”不是同一问题。金融机构应了解多司法辖区要求</w:t>
      </w:r>
      <w:r>
        <w:rPr>
          <w:sz w:val="15"/>
          <w:vertAlign w:val="superscript"/>
        </w:rPr>
        <w:t>P388</w:t>
      </w:r>
      <w:r>
        <w:t>，但具体适用范围仍要根据地域足迹，以及客户、供应商和其他第三方活动形成的司法管辖暴露判断</w:t>
      </w:r>
      <w:r>
        <w:rPr>
          <w:sz w:val="15"/>
          <w:vertAlign w:val="superscript"/>
        </w:rPr>
        <w:t>P207</w:t>
      </w:r>
      <w:r>
        <w:t>。</w:t>
      </w:r>
    </w:p>
    <w:p>
      <w:pPr>
        <w:spacing w:line="360" w:lineRule="auto" w:after="120"/>
      </w:pPr>
      <w:r/>
    </w:p>
    <w:p>
      <w:pPr>
        <w:spacing w:line="360" w:lineRule="auto" w:after="40"/>
      </w:pPr>
      <w:r>
        <w:t>2. 在为组织选择反金融犯罪(AFC)工具时,最重要的考虑因素是该工具是否:</w:t>
      </w:r>
      <w:r>
        <w:br/>
      </w:r>
      <w:r>
        <w:t>When selecting an anti-financial crime (AFC) tool for an organization, the most important factor to consider is whether the tool:</w:t>
      </w:r>
    </w:p>
    <w:p>
      <w:pPr>
        <w:spacing w:line="360" w:lineRule="auto" w:after="20"/>
      </w:pPr>
      <w:r>
        <w:t>A.与现有系统和流程无缝集成.</w:t>
      </w:r>
      <w:r>
        <w:br/>
      </w:r>
      <w:r>
        <w:t>Integrates seamlessly with existing systems and processes.</w:t>
      </w:r>
    </w:p>
    <w:p>
      <w:pPr>
        <w:spacing w:line="360" w:lineRule="auto" w:after="20"/>
      </w:pPr>
      <w:r>
        <w:t>B.符合预算和成本要求.</w:t>
      </w:r>
      <w:r>
        <w:br/>
      </w:r>
      <w:r>
        <w:t>Meets budget and cost requirements.</w:t>
      </w:r>
    </w:p>
    <w:p>
      <w:pPr>
        <w:spacing w:line="360" w:lineRule="auto" w:after="20"/>
      </w:pPr>
      <w:r>
        <w:t>C.自动化所有监管报告要求.</w:t>
      </w:r>
      <w:r>
        <w:br/>
      </w:r>
      <w:r>
        <w:t>Automates all regulatory reporting requirements.</w:t>
      </w:r>
    </w:p>
    <w:p>
      <w:pPr>
        <w:spacing w:line="360" w:lineRule="auto" w:after="20"/>
      </w:pPr>
      <w:r>
        <w:t>D.取代对员工进行人工合规培训的方式.</w:t>
      </w:r>
      <w:r>
        <w:br/>
      </w:r>
      <w:r>
        <w:t>Replaces manual compliance training for employees.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选择AFC工具的核心标准：与风险状况和现有系统的匹配度</w:t>
      </w:r>
    </w:p>
    <w:p>
      <w:pPr>
        <w:spacing w:before="120" w:after="40"/>
      </w:pPr>
      <w:r>
        <w:rPr>
          <w:b/>
          <w:sz w:val="21"/>
          <w:shd w:fill="D6E4F0" w:val="clear"/>
        </w:rPr>
        <w:t>核心解析：</w:t>
      </w:r>
    </w:p>
    <w:p>
      <w:pPr>
        <w:spacing w:line="360" w:lineRule="auto" w:after="40"/>
        <w:ind w:firstLine="420"/>
      </w:pPr>
      <w:r>
        <w:t>教材在“选择和实施新的AFC工具”这一直接语境中，要求机构首先</w:t>
      </w:r>
      <w:r>
        <w:rPr>
          <w:b/>
        </w:rPr>
        <w:t>全面评估现有系统、数据质量和集成挑战</w:t>
      </w:r>
      <w:r>
        <w:rPr>
          <w:sz w:val="15"/>
          <w:vertAlign w:val="superscript"/>
        </w:rPr>
        <w:t>P389</w:t>
      </w:r>
      <w:r>
        <w:t>，并把集成列为评估新AFC技术的四项关键考虑之一</w:t>
      </w:r>
      <w:r>
        <w:rPr>
          <w:sz w:val="15"/>
          <w:vertAlign w:val="superscript"/>
        </w:rPr>
        <w:t>P389</w:t>
      </w:r>
      <w:r>
        <w:t>。教材进一步说明，</w:t>
      </w:r>
      <w:r>
        <w:rPr>
          <w:b/>
        </w:rPr>
        <w:t>良好集成的方案应简化工作流并确保工具和数据集之间的互操作性</w:t>
      </w:r>
      <w:r>
        <w:rPr>
          <w:sz w:val="15"/>
          <w:vertAlign w:val="superscript"/>
        </w:rPr>
        <w:t>P390</w:t>
      </w:r>
      <w:r>
        <w:t>。A与这些直接标准一致；其余选项或只是约束条件，或使用“所有”“取代”等绝对表述，均不能作为首要选择标准。因此答案为A。</w:t>
      </w:r>
    </w:p>
    <w:p>
      <w:pPr>
        <w:spacing w:before="120" w:after="40"/>
      </w:pPr>
      <w:r>
        <w:rPr>
          <w:b/>
          <w:sz w:val="21"/>
          <w:shd w:fill="D6E4F0" w:val="clear"/>
        </w:rPr>
        <w:t>B项错误：</w:t>
      </w:r>
    </w:p>
    <w:p>
      <w:pPr>
        <w:spacing w:line="360" w:lineRule="auto" w:after="40"/>
        <w:ind w:firstLine="420"/>
      </w:pPr>
      <w:r>
        <w:t>预算和成本是实施约束，但题干问最重要因素。教材在选择新AFC工具时直接要求先评估现有系统和集成挑战</w:t>
      </w:r>
      <w:r>
        <w:rPr>
          <w:sz w:val="15"/>
          <w:vertAlign w:val="superscript"/>
        </w:rPr>
        <w:t>P389</w:t>
      </w:r>
      <w:r>
        <w:t>，故A的匹配度更高。</w:t>
      </w:r>
    </w:p>
    <w:p>
      <w:pPr>
        <w:spacing w:before="120" w:after="40"/>
      </w:pPr>
      <w:r>
        <w:rPr>
          <w:b/>
          <w:sz w:val="21"/>
          <w:shd w:fill="D6E4F0" w:val="clear"/>
        </w:rPr>
        <w:t>C项错误：</w:t>
      </w:r>
    </w:p>
    <w:p>
      <w:pPr>
        <w:spacing w:line="360" w:lineRule="auto" w:after="40"/>
        <w:ind w:firstLine="420"/>
      </w:pPr>
      <w:r>
        <w:t>单一工具未必能够自动化“所有”监管报告，而且报告自动化也只是工具功能之一。选择AFC工具还需考虑风险、数据、工作流、治理以及与现有系统的集成（P389-P390）。</w:t>
      </w:r>
    </w:p>
    <w:p>
      <w:pPr>
        <w:spacing w:before="120" w:after="40"/>
      </w:pPr>
      <w:r>
        <w:rPr>
          <w:b/>
          <w:sz w:val="21"/>
          <w:shd w:fill="D6E4F0" w:val="clear"/>
        </w:rPr>
        <w:t>D项错误：</w:t>
      </w:r>
    </w:p>
    <w:p>
      <w:pPr>
        <w:spacing w:line="360" w:lineRule="auto" w:after="40"/>
        <w:ind w:firstLine="420"/>
      </w:pPr>
      <w:r>
        <w:t>AFC工具不能取代员工合规培训。技术实施仍需人员理解、治理和监督，D把技术工具与人员培训错误地设为替代关系。</w:t>
      </w:r>
    </w:p>
    <w:p>
      <w:pPr>
        <w:spacing w:before="120" w:after="40"/>
      </w:pPr>
      <w:r>
        <w:rPr>
          <w:b/>
          <w:sz w:val="21"/>
          <w:shd w:fill="D6E4F0" w:val="clear"/>
        </w:rPr>
        <w:t>易错提醒：</w:t>
      </w:r>
    </w:p>
    <w:p>
      <w:pPr>
        <w:spacing w:line="360" w:lineRule="auto" w:after="40"/>
        <w:ind w:firstLine="420"/>
      </w:pPr>
      <w:r>
        <w:t>“无缝集成”是选项用语；教材的直接标准是兼容现有系统、处理集成挑战、简化工作流并实现互操作（P378、P389-P390）。解析可以据此选择A，但不应把预算、可扩展性或合规需求说成完全不重要。</w:t>
      </w:r>
    </w:p>
    <w:p>
      <w:pPr>
        <w:spacing w:line="360" w:lineRule="auto" w:after="120"/>
      </w:pPr>
      <w:r/>
    </w:p>
    <w:p>
      <w:pPr>
        <w:spacing w:line="360" w:lineRule="auto" w:after="40"/>
      </w:pPr>
      <w:r>
        <w:t>3. 应实施以下哪些措施来促进不同风险管理职能之间的协作，以增强组织的反金融犯罪(AFC)计划？（选择三项。）</w:t>
      </w:r>
      <w:r>
        <w:br/>
      </w:r>
      <w:r>
        <w:t>Which measures should be implemented to facilitate collaboration among different risk management functions to enhance an organization's anti-financial crime (AFC) program? (Select Three.)</w:t>
      </w:r>
    </w:p>
    <w:p>
      <w:pPr>
        <w:spacing w:line="360" w:lineRule="auto" w:after="20"/>
      </w:pPr>
      <w:r>
        <w:t>A.建立强大的持续威胁情报共享框架</w:t>
      </w:r>
      <w:r>
        <w:br/>
      </w:r>
      <w:r>
        <w:t>Establish a robust framework for continuous threat intelligence sharing.</w:t>
      </w:r>
    </w:p>
    <w:p>
      <w:pPr>
        <w:spacing w:line="360" w:lineRule="auto" w:after="20"/>
      </w:pPr>
      <w:r>
        <w:t>B.要求高级管理层对AFC失效负责</w:t>
      </w:r>
      <w:r>
        <w:br/>
      </w:r>
      <w:r>
        <w:t>Have senior management accountability for AFC failures.</w:t>
      </w:r>
    </w:p>
    <w:p>
      <w:pPr>
        <w:spacing w:line="360" w:lineRule="auto" w:after="20"/>
      </w:pPr>
      <w:r>
        <w:t>C.在风险管理职能之间建立奖励计划，以鼓励主动控制措施</w:t>
      </w:r>
      <w:r>
        <w:br/>
      </w:r>
      <w:r>
        <w:t>Establish a reward program among risk management functions to encourage proactive controls.</w:t>
      </w:r>
    </w:p>
    <w:p>
      <w:pPr>
        <w:spacing w:line="360" w:lineRule="auto" w:after="20"/>
      </w:pPr>
      <w:r>
        <w:t>D.开发关于AFC风险、管理策略及相关技术的跨职能培训项目</w:t>
      </w:r>
      <w:r>
        <w:br/>
      </w:r>
      <w:r>
        <w:t>Develop cross-functional training programs on AFC risks, management strategies, and related technologies.</w:t>
      </w:r>
    </w:p>
    <w:p>
      <w:pPr>
        <w:spacing w:line="360" w:lineRule="auto" w:after="20"/>
      </w:pPr>
      <w:r>
        <w:t>E.建立共同的衡量标准和关键绩效指标</w:t>
      </w:r>
      <w:r>
        <w:br/>
      </w:r>
      <w:r>
        <w:t>Develop common metrics and key performance indicators.</w:t>
      </w:r>
    </w:p>
    <w:p>
      <w:pPr>
        <w:spacing w:line="360" w:lineRule="auto" w:after="40"/>
      </w:pPr>
      <w:r>
        <w:t>答案:A、D、E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识别直接建立跨职能信息、能力和衡量机制的协作措施</w:t>
      </w:r>
    </w:p>
    <w:p>
      <w:pPr>
        <w:spacing w:before="120" w:after="40"/>
      </w:pPr>
      <w:r>
        <w:rPr>
          <w:b/>
          <w:sz w:val="21"/>
          <w:shd w:fill="D6E4F0" w:val="clear"/>
        </w:rPr>
        <w:t>核心解析：</w:t>
      </w:r>
    </w:p>
    <w:p>
      <w:pPr>
        <w:spacing w:line="360" w:lineRule="auto" w:after="40"/>
        <w:ind w:firstLine="420"/>
      </w:pPr>
      <w:r>
        <w:t>促进风险管理职能协作，需要在不同职能之间建立</w:t>
      </w:r>
      <w:r>
        <w:rPr>
          <w:b/>
        </w:rPr>
        <w:t>共同的信息、知识或评价机制</w:t>
      </w:r>
      <w:r>
        <w:t>。跨职能参与和明确职责有助于实现透明沟通与跨部门协作</w:t>
      </w:r>
      <w:r>
        <w:rPr>
          <w:sz w:val="15"/>
          <w:vertAlign w:val="superscript"/>
        </w:rPr>
        <w:t>P387</w:t>
      </w:r>
      <w:r>
        <w:t>。A建立持续威胁情报共享框架，与合规人员应跨职能共享信息的要求一致，能够减少信息孤岛</w:t>
      </w:r>
      <w:r>
        <w:rPr>
          <w:sz w:val="15"/>
          <w:vertAlign w:val="superscript"/>
        </w:rPr>
        <w:t>P264</w:t>
      </w:r>
      <w:r>
        <w:t>；教材关于金融机构共享威胁和漏洞情报的材料进一步说明了此类信息共享在预防和控制风险方面的价值</w:t>
      </w:r>
      <w:r>
        <w:rPr>
          <w:sz w:val="15"/>
          <w:vertAlign w:val="superscript"/>
        </w:rPr>
        <w:t>P211</w:t>
      </w:r>
      <w:r>
        <w:t>，但该材料仅作为补充。D通过跨职能培训，使不同部门共同理解AFC监管要求、风险管理实践及相关技术；教材既说明第二道防线负责监管要求和风险管理实践培训，也指出AFC专业人员可通过与IT合作和参加培训了解相关技术</w:t>
      </w:r>
      <w:r>
        <w:rPr>
          <w:sz w:val="15"/>
          <w:vertAlign w:val="superscript"/>
        </w:rPr>
        <w:t>P261、P330</w:t>
      </w:r>
      <w:r>
        <w:t>。E建立共同指标和KPI，使不同职能按照统一尺度衡量AFC控制的效率和有效性，有助于共同报告和协调改进</w:t>
      </w:r>
      <w:r>
        <w:rPr>
          <w:sz w:val="15"/>
          <w:vertAlign w:val="superscript"/>
        </w:rPr>
        <w:t>P296、P387</w:t>
      </w:r>
      <w:r>
        <w:t>。A、D、E分别建立信息共享、共同能力和统一衡量机制，故应选择A、D、E。</w:t>
      </w:r>
    </w:p>
    <w:p>
      <w:pPr>
        <w:spacing w:before="120" w:after="40"/>
      </w:pPr>
      <w:r>
        <w:rPr>
          <w:b/>
          <w:sz w:val="21"/>
          <w:shd w:fill="D6E4F0" w:val="clear"/>
        </w:rPr>
        <w:t>教材原句：</w:t>
      </w:r>
    </w:p>
    <w:p>
      <w:pPr>
        <w:spacing w:line="360" w:lineRule="auto" w:after="40"/>
        <w:ind w:firstLine="420"/>
      </w:pPr>
      <w:r>
        <w:t>"Cross-functional participation and clear accountabilities enable transparent communication and collaboration across departments, helping align technology adoption with risk appetite and strategic goals."</w:t>
      </w:r>
      <w:r>
        <w:rPr>
          <w:sz w:val="15"/>
          <w:vertAlign w:val="superscript"/>
        </w:rPr>
        <w:t>P387</w:t>
      </w:r>
    </w:p>
    <w:p>
      <w:pPr>
        <w:spacing w:before="120" w:after="40"/>
      </w:pPr>
      <w:r>
        <w:rPr>
          <w:b/>
          <w:sz w:val="21"/>
          <w:shd w:fill="D6E4F0" w:val="clear"/>
        </w:rPr>
        <w:t>B项错误：</w:t>
      </w:r>
    </w:p>
    <w:p>
      <w:pPr>
        <w:spacing w:line="360" w:lineRule="auto" w:after="40"/>
        <w:ind w:firstLine="420"/>
      </w:pPr>
      <w:r>
        <w:t>明确职责确实有助于跨部门协作</w:t>
      </w:r>
      <w:r>
        <w:rPr>
          <w:sz w:val="15"/>
          <w:vertAlign w:val="superscript"/>
        </w:rPr>
        <w:t>P387</w:t>
      </w:r>
      <w:r>
        <w:t>，但B具体描述的是高级管理层对AFC失效承担监督责任。教材相关案例强调高管因监督失败受到训诫，属于治理和事后问责</w:t>
      </w:r>
      <w:r>
        <w:rPr>
          <w:sz w:val="15"/>
          <w:vertAlign w:val="superscript"/>
        </w:rPr>
        <w:t>P266</w:t>
      </w:r>
      <w:r>
        <w:t>，并没有直接建立风险职能之间的信息共享、共同培训或统一衡量机制。因此，B与协作存在间接联系，但不如A、D、E直接。</w:t>
      </w:r>
    </w:p>
    <w:p>
      <w:pPr>
        <w:spacing w:before="120" w:after="40"/>
      </w:pPr>
      <w:r>
        <w:rPr>
          <w:b/>
          <w:sz w:val="21"/>
          <w:shd w:fill="D6E4F0" w:val="clear"/>
        </w:rPr>
        <w:t>C项错误：</w:t>
      </w:r>
    </w:p>
    <w:p>
      <w:pPr>
        <w:spacing w:line="360" w:lineRule="auto" w:after="40"/>
        <w:ind w:firstLine="420"/>
      </w:pPr>
      <w:r>
        <w:t>奖励计划可能激励个人或团队采取主动控制措施，但它本身并不能建立职能间的信息共享、统一培训或共同工作标准。因此，其与题干所要求的AFC协作措施的匹配度低于A、D、E。</w:t>
      </w:r>
    </w:p>
    <w:p>
      <w:pPr>
        <w:spacing w:before="120" w:after="40"/>
      </w:pPr>
      <w:r>
        <w:rPr>
          <w:b/>
          <w:sz w:val="21"/>
          <w:shd w:fill="D6E4F0" w:val="clear"/>
        </w:rPr>
        <w:t>易错提醒：</w:t>
      </w:r>
    </w:p>
    <w:p>
      <w:pPr>
        <w:spacing w:line="360" w:lineRule="auto" w:after="40"/>
        <w:ind w:firstLine="420"/>
      </w:pPr>
      <w:r>
        <w:t>判断措施是否促进跨职能协作，应检查其是否建立了跨部门信息流、共同能力或统一评价标准</w:t>
      </w:r>
      <w:r>
        <w:rPr>
          <w:sz w:val="15"/>
          <w:vertAlign w:val="superscript"/>
        </w:rPr>
        <w:t>P264、P296、P330、P387</w:t>
      </w:r>
      <w:r>
        <w:t>。高级管理层问责和员工奖励可能改善治理或行为，但只有在明确连接不同职能的日常工作时，才属于直接协作机制。</w:t>
      </w:r>
    </w:p>
    <w:p>
      <w:pPr>
        <w:spacing w:line="360" w:lineRule="auto" w:after="120"/>
      </w:pPr>
      <w:r/>
    </w:p>
    <w:p>
      <w:pPr>
        <w:spacing w:line="360" w:lineRule="auto" w:after="40"/>
      </w:pPr>
      <w:r>
        <w:t>4. 在采用基于风险的方法(RBA)的反金融犯罪(AFC)计划中哪些策略最有效用于资源优先级排序？（选择两项。）</w:t>
      </w:r>
      <w:r>
        <w:br/>
      </w:r>
      <w:r>
        <w:t>Which strategies are most effective for prioritizing resources within an anti-financial crime (AFC) program using a risk-based approach (RBA)? (Choose two.)</w:t>
      </w:r>
    </w:p>
    <w:p>
      <w:pPr>
        <w:spacing w:line="360" w:lineRule="auto" w:after="20"/>
      </w:pPr>
      <w:r>
        <w:t>A.将资源优先分配给风险较低的领域以减轻工作负担</w:t>
      </w:r>
      <w:r>
        <w:br/>
      </w:r>
      <w:r>
        <w:t>Prioritizing resources toward lower-risk areas to reduce workload</w:t>
      </w:r>
    </w:p>
    <w:p>
      <w:pPr>
        <w:spacing w:line="360" w:lineRule="auto" w:after="20"/>
      </w:pPr>
      <w:r>
        <w:t>B.定期重新评估风险以调整资源配置</w:t>
      </w:r>
      <w:r>
        <w:br/>
      </w:r>
      <w:r>
        <w:t>Regularly reassessing risks to adjust resource allocation</w:t>
      </w:r>
    </w:p>
    <w:p>
      <w:pPr>
        <w:spacing w:line="360" w:lineRule="auto" w:after="20"/>
      </w:pPr>
      <w:r>
        <w:t>C.向金融犯罪风险较高的领域分配更多资源</w:t>
      </w:r>
      <w:r>
        <w:br/>
      </w:r>
      <w:r>
        <w:t>Allocating more resources to areas with higher financial crime risk</w:t>
      </w:r>
    </w:p>
    <w:p>
      <w:pPr>
        <w:spacing w:line="360" w:lineRule="auto" w:after="20"/>
      </w:pPr>
      <w:r>
        <w:t>D.向所有部门提供同等资源以保持一致性</w:t>
      </w:r>
      <w:r>
        <w:br/>
      </w:r>
      <w:r>
        <w:t>Providing equal resources to all departments to maintain consistency</w:t>
      </w:r>
    </w:p>
    <w:p>
      <w:pPr>
        <w:spacing w:line="360" w:lineRule="auto" w:after="20"/>
      </w:pPr>
      <w:r>
        <w:t>E.使用不作调整的固定资源分配计划</w:t>
      </w:r>
      <w:r>
        <w:br/>
      </w:r>
      <w:r>
        <w:t>Using a fixed resource allocation plan without adjustments</w:t>
      </w:r>
    </w:p>
    <w:p>
      <w:pPr>
        <w:spacing w:line="360" w:lineRule="auto" w:after="40"/>
      </w:pPr>
      <w:r>
        <w:t>答案:B、C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基于风险的方法要求资源向高风险领域倾斜并动态调整分配</w:t>
      </w:r>
    </w:p>
    <w:p>
      <w:pPr>
        <w:spacing w:before="120" w:after="40"/>
      </w:pPr>
      <w:r>
        <w:rPr>
          <w:b/>
          <w:sz w:val="21"/>
          <w:shd w:fill="D6E4F0" w:val="clear"/>
        </w:rPr>
        <w:t>核心解析：</w:t>
      </w:r>
    </w:p>
    <w:p>
      <w:pPr>
        <w:spacing w:line="360" w:lineRule="auto" w:after="40"/>
        <w:ind w:firstLine="420"/>
      </w:pPr>
      <w:r>
        <w:t>风险为本方法（RBA）指</w:t>
      </w:r>
      <w:r>
        <w:rPr>
          <w:b/>
        </w:rPr>
        <w:t>识别最高风险并优先分配资源以应对风险</w:t>
      </w:r>
      <w:r>
        <w:t>的过程</w:t>
      </w:r>
      <w:r>
        <w:rPr>
          <w:sz w:val="15"/>
          <w:vertAlign w:val="superscript"/>
        </w:rPr>
        <w:t>P381</w:t>
      </w:r>
      <w:r>
        <w:t>，其核心是将精力集中于最需要和影响最大的领域，优先对</w:t>
      </w:r>
      <w:r>
        <w:rPr>
          <w:b/>
        </w:rPr>
        <w:t>高风险客户、司法管辖区和服务</w:t>
      </w:r>
      <w:r>
        <w:t>投入资源</w:t>
      </w:r>
      <w:r>
        <w:rPr>
          <w:sz w:val="15"/>
          <w:vertAlign w:val="superscript"/>
        </w:rPr>
        <w:t>P270、P276</w:t>
      </w:r>
      <w:r>
        <w:t>。同时，金融犯罪风险是动态演变的，组织必须在业务发生重大变化时</w:t>
      </w:r>
      <w:r>
        <w:rPr>
          <w:b/>
        </w:rPr>
        <w:t>重新评估风险</w:t>
      </w:r>
      <w:r>
        <w:t>，并定期主动调整资源配置</w:t>
      </w:r>
      <w:r>
        <w:rPr>
          <w:sz w:val="15"/>
          <w:vertAlign w:val="superscript"/>
        </w:rPr>
        <w:t>P271、P283</w:t>
      </w:r>
      <w:r>
        <w:t>。题干问的是RBA下资源优先级排序的最有效策略，选项B（定期重新评估风险以调整资源配置）与选项C（向高风险领域分配更多资源）分别对应RBA的动态调整原则和资源倾斜核心，两者共同构成RBA的完整运作逻辑。</w:t>
      </w:r>
    </w:p>
    <w:p>
      <w:pPr>
        <w:spacing w:before="120" w:after="40"/>
      </w:pPr>
      <w:r>
        <w:rPr>
          <w:b/>
          <w:sz w:val="21"/>
          <w:shd w:fill="D6E4F0" w:val="clear"/>
        </w:rPr>
        <w:t>教材原句：</w:t>
      </w:r>
    </w:p>
    <w:p>
      <w:pPr>
        <w:spacing w:line="360" w:lineRule="auto" w:after="40"/>
        <w:ind w:firstLine="420"/>
      </w:pPr>
      <w:r>
        <w:t>"A risk-based approach refers to the process of identifying the highest risks and prioritizing resources to address them."</w:t>
      </w:r>
      <w:r>
        <w:rPr>
          <w:sz w:val="15"/>
          <w:vertAlign w:val="superscript"/>
        </w:rPr>
        <w:t>P381</w:t>
      </w:r>
    </w:p>
    <w:p>
      <w:pPr>
        <w:spacing w:before="120" w:after="40"/>
      </w:pPr>
      <w:r>
        <w:rPr>
          <w:b/>
          <w:sz w:val="21"/>
          <w:shd w:fill="D6E4F0" w:val="clear"/>
        </w:rPr>
        <w:t>A项错误：</w:t>
      </w:r>
    </w:p>
    <w:p>
      <w:pPr>
        <w:spacing w:line="360" w:lineRule="auto" w:after="40"/>
        <w:ind w:firstLine="420"/>
      </w:pPr>
      <w:r>
        <w:t>教材对RBA的定义始终强调优先向最高风险领域分配资源</w:t>
      </w:r>
      <w:r>
        <w:rPr>
          <w:sz w:val="15"/>
          <w:vertAlign w:val="superscript"/>
        </w:rPr>
        <w:t>P381</w:t>
      </w:r>
      <w:r>
        <w:t>，将资源优先分配给低风险领域与RBA的核心原则方向相反，在教材框架下匹配度远不如B、C。</w:t>
      </w:r>
    </w:p>
    <w:p>
      <w:pPr>
        <w:spacing w:before="120" w:after="40"/>
      </w:pPr>
      <w:r>
        <w:rPr>
          <w:b/>
          <w:sz w:val="21"/>
          <w:shd w:fill="D6E4F0" w:val="clear"/>
        </w:rPr>
        <w:t>D项错误：</w:t>
      </w:r>
    </w:p>
    <w:p>
      <w:pPr>
        <w:spacing w:line="360" w:lineRule="auto" w:after="40"/>
        <w:ind w:firstLine="420"/>
      </w:pPr>
      <w:r>
        <w:t>RBA要求根据风险暴露程度进行优先级排序和资源倾斜，同等资源分配意味着不对风险进行区分，无法体现风险为本方法下资源与风险水平相称的特征。</w:t>
      </w:r>
    </w:p>
    <w:p>
      <w:pPr>
        <w:spacing w:before="120" w:after="40"/>
      </w:pPr>
      <w:r>
        <w:rPr>
          <w:b/>
          <w:sz w:val="21"/>
          <w:shd w:fill="D6E4F0" w:val="clear"/>
        </w:rPr>
        <w:t>E项错误：</w:t>
      </w:r>
    </w:p>
    <w:p>
      <w:pPr>
        <w:spacing w:line="360" w:lineRule="auto" w:after="40"/>
        <w:ind w:firstLine="420"/>
      </w:pPr>
      <w:r>
        <w:t>教材多处指出风险需要定期重新评估并据此调整资源，固定不变的计划无法适应风险动态变化，不符合RBA所要求的主动调整和动态管理。</w:t>
      </w:r>
    </w:p>
    <w:p>
      <w:pPr>
        <w:spacing w:before="120" w:after="40"/>
      </w:pPr>
      <w:r>
        <w:rPr>
          <w:b/>
          <w:sz w:val="21"/>
          <w:shd w:fill="D6E4F0" w:val="clear"/>
        </w:rPr>
        <w:t>易错提醒：</w:t>
      </w:r>
    </w:p>
    <w:p>
      <w:pPr>
        <w:spacing w:line="360" w:lineRule="auto" w:after="40"/>
        <w:ind w:firstLine="420"/>
      </w:pPr>
      <w:r>
        <w:t>RBA并非只处理高风险而完全忽略低风险，而是对最高风险投入更多资源、努力和投资来建立控制</w:t>
      </w:r>
      <w:r>
        <w:rPr>
          <w:sz w:val="15"/>
          <w:vertAlign w:val="superscript"/>
        </w:rPr>
        <w:t>P381</w:t>
      </w:r>
      <w:r>
        <w:t>，低风险领域仍会被覆盖但资源配置比例不同。</w:t>
      </w:r>
    </w:p>
    <w:p>
      <w:pPr>
        <w:spacing w:line="360" w:lineRule="auto" w:after="120"/>
      </w:pPr>
      <w:r/>
    </w:p>
    <w:p>
      <w:pPr>
        <w:spacing w:line="360" w:lineRule="auto" w:after="40"/>
      </w:pPr>
      <w:r>
        <w:t>5. 以下哪些是进行地平线扫描的有效方法？（选择两项。）</w:t>
      </w:r>
      <w:r>
        <w:br/>
      </w:r>
      <w:r>
        <w:t>Which of the following are efficient approaches for performing horizon scanning? (Select Two.)</w:t>
      </w:r>
    </w:p>
    <w:p>
      <w:pPr>
        <w:spacing w:line="360" w:lineRule="auto" w:after="20"/>
      </w:pPr>
      <w:r>
        <w:t>A.订阅监管机构的通讯简报</w:t>
      </w:r>
      <w:r>
        <w:br/>
      </w:r>
      <w:r>
        <w:t>Subscribing to a regulator's newsletter</w:t>
      </w:r>
    </w:p>
    <w:p>
      <w:pPr>
        <w:spacing w:line="360" w:lineRule="auto" w:after="20"/>
      </w:pPr>
      <w:r>
        <w:t>B.使用专门的监管地平线扫描服务提供商</w:t>
      </w:r>
      <w:r>
        <w:br/>
      </w:r>
      <w:r>
        <w:t>Using a specific provider for regulatory horizon scanning</w:t>
      </w:r>
    </w:p>
    <w:p>
      <w:pPr>
        <w:spacing w:line="360" w:lineRule="auto" w:after="20"/>
      </w:pPr>
      <w:r>
        <w:t>C.定期与监管机构联系，询问最新情况和未来发展趋势</w:t>
      </w:r>
      <w:r>
        <w:br/>
      </w:r>
      <w:r>
        <w:t>Regularly contacting the regulator to inquire about updates and future developments</w:t>
      </w:r>
    </w:p>
    <w:p>
      <w:pPr>
        <w:spacing w:line="360" w:lineRule="auto" w:after="20"/>
      </w:pPr>
      <w:r>
        <w:t>D.依靠来自同行和工作小组的信息及见解</w:t>
      </w:r>
      <w:r>
        <w:br/>
      </w:r>
      <w:r>
        <w:t>Relying on information and insights from peers and working groups</w:t>
      </w:r>
    </w:p>
    <w:p>
      <w:pPr>
        <w:spacing w:line="360" w:lineRule="auto" w:after="40"/>
      </w:pPr>
      <w:r>
        <w:t>答案:A、B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区分组织进行地平线扫描的系统化、主动式方法与日常互动方式</w:t>
      </w:r>
    </w:p>
    <w:p>
      <w:pPr>
        <w:spacing w:before="120" w:after="40"/>
      </w:pPr>
      <w:r>
        <w:rPr>
          <w:b/>
          <w:sz w:val="21"/>
          <w:shd w:fill="D6E4F0" w:val="clear"/>
        </w:rPr>
        <w:t>核心解析：</w:t>
      </w:r>
    </w:p>
    <w:p>
      <w:pPr>
        <w:spacing w:line="360" w:lineRule="auto" w:after="40"/>
        <w:ind w:firstLine="420"/>
      </w:pPr>
      <w:r>
        <w:rPr>
          <w:b/>
        </w:rPr>
        <w:t>地平线扫描</w:t>
      </w:r>
      <w:r>
        <w:t>指组织主动监测</w:t>
      </w:r>
      <w:r>
        <w:rPr>
          <w:b/>
        </w:rPr>
        <w:t>新兴趋势、监管动态和未来威胁</w:t>
      </w:r>
      <w:r>
        <w:t>的系统化过程</w:t>
      </w:r>
      <w:r>
        <w:rPr>
          <w:sz w:val="15"/>
          <w:vertAlign w:val="superscript"/>
        </w:rPr>
        <w:t>P293、P296</w:t>
      </w:r>
      <w:r>
        <w:t>。题干问的是进行地平线扫描的“有效方法”，关键是看哪些选项建立了</w:t>
      </w:r>
      <w:r>
        <w:rPr>
          <w:b/>
        </w:rPr>
        <w:t>结构化、持续的信息获取机制</w:t>
      </w:r>
      <w:r>
        <w:t>。选项A“订阅监管机构的通讯简报”是一种持续监管监测通道，教材将持续监管监测列为确保持续合规的结构化方法之一</w:t>
      </w:r>
      <w:r>
        <w:rPr>
          <w:sz w:val="15"/>
          <w:vertAlign w:val="superscript"/>
        </w:rPr>
        <w:t>P388</w:t>
      </w:r>
      <w:r>
        <w:t>，通讯简报正是监管机构发布指导说明和法规更新的官方渠道，直接构成地平线扫描的信息来源。选项B“使用专门的监管地平线扫描服务提供商”借助外部专业力量，《内部报告》章节强调地平线扫描需要可观的提前时间和资源规划，专门服务商恰好承担这种系统化监测任务，与教材提到的</w:t>
      </w:r>
      <w:r>
        <w:rPr>
          <w:b/>
        </w:rPr>
        <w:t>规划和资源配置</w:t>
      </w:r>
      <w:r>
        <w:t>功能相呼应</w:t>
      </w:r>
      <w:r>
        <w:rPr>
          <w:sz w:val="15"/>
          <w:vertAlign w:val="superscript"/>
        </w:rPr>
        <w:t>P293</w:t>
      </w:r>
      <w:r>
        <w:t>。两项共同体现了结构化、持续性和前瞻性的扫描特征，因此成为有效方法。</w:t>
      </w:r>
    </w:p>
    <w:p>
      <w:pPr>
        <w:spacing w:before="120" w:after="40"/>
      </w:pPr>
      <w:r>
        <w:rPr>
          <w:b/>
          <w:sz w:val="21"/>
          <w:shd w:fill="D6E4F0" w:val="clear"/>
        </w:rPr>
        <w:t>教材原句：</w:t>
      </w:r>
    </w:p>
    <w:p>
      <w:pPr>
        <w:spacing w:line="360" w:lineRule="auto" w:after="40"/>
        <w:ind w:firstLine="420"/>
      </w:pPr>
      <w:r>
        <w:t>"A structured approach to ensuring ongoing compliance includes continuous regulatory monitoring, proactive engagement with regulators and other stakeholders, and the strategic use of technology."</w:t>
      </w:r>
      <w:r>
        <w:rPr>
          <w:sz w:val="15"/>
          <w:vertAlign w:val="superscript"/>
        </w:rPr>
        <w:t>P388</w:t>
      </w:r>
    </w:p>
    <w:p>
      <w:pPr>
        <w:spacing w:before="120" w:after="40"/>
      </w:pPr>
      <w:r>
        <w:rPr>
          <w:b/>
          <w:sz w:val="21"/>
          <w:shd w:fill="D6E4F0" w:val="clear"/>
        </w:rPr>
        <w:t>C项错误：</w:t>
      </w:r>
    </w:p>
    <w:p>
      <w:pPr>
        <w:spacing w:line="360" w:lineRule="auto" w:after="40"/>
        <w:ind w:firstLine="420"/>
      </w:pPr>
      <w:r>
        <w:t>主动与监管机构沟通有助于了解监管期望，但逐次联系询问不如官方通讯订阅和专门扫描服务那样形成持续、结构化的信息获取机制。在只能选择两项时，A、B与地平线扫描的系统性要求更直接吻合。</w:t>
      </w:r>
    </w:p>
    <w:p>
      <w:pPr>
        <w:spacing w:before="120" w:after="40"/>
      </w:pPr>
      <w:r>
        <w:rPr>
          <w:b/>
          <w:sz w:val="21"/>
          <w:shd w:fill="D6E4F0" w:val="clear"/>
        </w:rPr>
        <w:t>D项错误：</w:t>
      </w:r>
    </w:p>
    <w:p>
      <w:pPr>
        <w:spacing w:line="360" w:lineRule="auto" w:after="40"/>
        <w:ind w:firstLine="420"/>
      </w:pPr>
      <w:r>
        <w:t>同行和工作小组的信息有助于了解新兴趋势，也可作为地平线扫描的补充来源。相比之下，A提供持续更新的官方渠道，B提供专门、系统化的扫描服务，与题干所强调的高效、持续监测更直接匹配。</w:t>
      </w:r>
    </w:p>
    <w:p>
      <w:pPr>
        <w:spacing w:before="120" w:after="40"/>
      </w:pPr>
      <w:r>
        <w:rPr>
          <w:b/>
          <w:sz w:val="21"/>
          <w:shd w:fill="D6E4F0" w:val="clear"/>
        </w:rPr>
        <w:t>易错提醒：</w:t>
      </w:r>
    </w:p>
    <w:p>
      <w:pPr>
        <w:spacing w:line="360" w:lineRule="auto" w:after="40"/>
        <w:ind w:firstLine="420"/>
      </w:pPr>
      <w:r>
        <w:t>选项C、D也可能提供前瞻信息，并非当然无效；但在只能选择两项时，应优先选择能够持续、系统获取监管动态的官方订阅和专门扫描服务</w:t>
      </w:r>
      <w:r>
        <w:rPr>
          <w:sz w:val="15"/>
          <w:vertAlign w:val="superscript"/>
        </w:rPr>
        <w:t>P293、P388</w:t>
      </w:r>
      <w:r>
        <w:t>。</w:t>
      </w:r>
    </w:p>
    <w:p>
      <w:pPr>
        <w:spacing w:line="360" w:lineRule="auto" w:after="120"/>
      </w:pPr>
      <w:r/>
    </w:p>
    <w:p>
      <w:pPr>
        <w:spacing w:line="360" w:lineRule="auto" w:after="40"/>
      </w:pPr>
      <w:r>
        <w:t>6. 在为组织选择反金融犯罪(AFC)工具时，应优先考虑哪些因素？（选择两项。）</w:t>
      </w:r>
      <w:r>
        <w:br/>
      </w:r>
      <w:r>
        <w:t>Which factors should be prioritized when choosing an anti-financial crime (AFC) tool for an organization? (Select Two.)</w:t>
      </w:r>
    </w:p>
    <w:p>
      <w:pPr>
        <w:spacing w:line="360" w:lineRule="auto" w:after="20"/>
      </w:pPr>
      <w:r>
        <w:t>A.实时数据分析能力作为更广泛战略的一部分</w:t>
      </w:r>
      <w:r>
        <w:br/>
      </w:r>
      <w:r>
        <w:t>Real-time data analysis capabilities as part of a broader strategy</w:t>
      </w:r>
    </w:p>
    <w:p>
      <w:pPr>
        <w:spacing w:line="360" w:lineRule="auto" w:after="20"/>
      </w:pPr>
      <w:r>
        <w:t>B.倾向于选择成本最低的方案</w:t>
      </w:r>
      <w:r>
        <w:br/>
      </w:r>
      <w:r>
        <w:t>Preference for the lowest-cost solution</w:t>
      </w:r>
    </w:p>
    <w:p>
      <w:pPr>
        <w:spacing w:line="360" w:lineRule="auto" w:after="20"/>
      </w:pPr>
      <w:r>
        <w:t>C.完全消除人工流程</w:t>
      </w:r>
      <w:r>
        <w:br/>
      </w:r>
      <w:r>
        <w:t>Complete elimination of manual processes</w:t>
      </w:r>
    </w:p>
    <w:p>
      <w:pPr>
        <w:spacing w:line="360" w:lineRule="auto" w:after="20"/>
      </w:pPr>
      <w:r>
        <w:t>D.与现有IT基础设施的兼容性</w:t>
      </w:r>
      <w:r>
        <w:br/>
      </w:r>
      <w:r>
        <w:t>Compatibility with existing IT infrastructure</w:t>
      </w:r>
    </w:p>
    <w:p>
      <w:pPr>
        <w:spacing w:line="360" w:lineRule="auto" w:after="20"/>
      </w:pPr>
      <w:r>
        <w:t>E.处理不断增长的交易量的可扩展性</w:t>
      </w:r>
      <w:r>
        <w:br/>
      </w:r>
      <w:r>
        <w:t>Scalability to handle increasing transaction volumes</w:t>
      </w:r>
    </w:p>
    <w:p>
      <w:pPr>
        <w:spacing w:line="360" w:lineRule="auto" w:after="40"/>
      </w:pPr>
      <w:r>
        <w:t>答案:D、E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评估反金融犯罪工具选择的核心技术考量基准</w:t>
      </w:r>
    </w:p>
    <w:p>
      <w:pPr>
        <w:spacing w:before="120" w:after="40"/>
      </w:pPr>
      <w:r>
        <w:rPr>
          <w:b/>
          <w:sz w:val="21"/>
          <w:shd w:fill="D6E4F0" w:val="clear"/>
        </w:rPr>
        <w:t>核心解析：</w:t>
      </w:r>
    </w:p>
    <w:p>
      <w:pPr>
        <w:spacing w:line="360" w:lineRule="auto" w:after="40"/>
        <w:ind w:firstLine="420"/>
      </w:pPr>
      <w:r>
        <w:t>教材指出评估反金融犯罪新技术有四个关键考量：</w:t>
      </w:r>
      <w:r>
        <w:rPr>
          <w:b/>
        </w:rPr>
        <w:t>可扩展性、灵活架构、集成与协作</w:t>
      </w:r>
      <w:r>
        <w:rPr>
          <w:sz w:val="15"/>
          <w:vertAlign w:val="superscript"/>
        </w:rPr>
        <w:t>P389</w:t>
      </w:r>
      <w:r>
        <w:t>。其中，可扩展性指能适应</w:t>
      </w:r>
      <w:r>
        <w:rPr>
          <w:b/>
        </w:rPr>
        <w:t>有机增长、并购及新产品服务引发的交易量增长</w:t>
      </w:r>
      <w:r>
        <w:t>，避免频繁系统更替</w:t>
      </w:r>
      <w:r>
        <w:rPr>
          <w:sz w:val="15"/>
          <w:vertAlign w:val="superscript"/>
        </w:rPr>
        <w:t>P389、P432</w:t>
      </w:r>
      <w:r>
        <w:t>。集成则要求确保与</w:t>
      </w:r>
      <w:r>
        <w:rPr>
          <w:b/>
        </w:rPr>
        <w:t>遗留技术及核心银行系统兼容</w:t>
      </w:r>
      <w:r>
        <w:t>，并简化工作流</w:t>
      </w:r>
      <w:r>
        <w:rPr>
          <w:sz w:val="15"/>
          <w:vertAlign w:val="superscript"/>
        </w:rPr>
        <w:t>P378、P390</w:t>
      </w:r>
      <w:r>
        <w:t>。本题询问选择反金融犯罪工具时的优先因素，选项 D“兼容性”和 E“可扩展性”正好落入教材列出的这些核心评估维度，因此为正确答案。</w:t>
      </w:r>
    </w:p>
    <w:p>
      <w:pPr>
        <w:spacing w:before="120" w:after="40"/>
      </w:pPr>
      <w:r>
        <w:rPr>
          <w:b/>
          <w:sz w:val="21"/>
          <w:shd w:fill="D6E4F0" w:val="clear"/>
        </w:rPr>
        <w:t>教材原句：</w:t>
      </w:r>
    </w:p>
    <w:p>
      <w:pPr>
        <w:spacing w:line="360" w:lineRule="auto" w:after="40"/>
        <w:ind w:firstLine="420"/>
      </w:pPr>
      <w:r>
        <w:t>"There are four key considerations for evaluating new AFC technology: scalability, flexible architecture, integration, and collaboration."</w:t>
      </w:r>
    </w:p>
    <w:p>
      <w:pPr>
        <w:spacing w:before="120" w:after="40"/>
      </w:pPr>
      <w:r>
        <w:rPr>
          <w:b/>
          <w:sz w:val="21"/>
          <w:shd w:fill="D6E4F0" w:val="clear"/>
        </w:rPr>
        <w:t>A项错误：</w:t>
      </w:r>
    </w:p>
    <w:p>
      <w:pPr>
        <w:spacing w:line="360" w:lineRule="auto" w:after="40"/>
        <w:ind w:firstLine="420"/>
      </w:pPr>
      <w:r>
        <w:t>虽然实时数据分析能力（如网络分析支持实时响应，P453）确有应用价值，但它属于具体功能特性，而非教材第13章在 P389 列出的四项核心考量。在教材框架下，其作为选择时的优先权重匹配度不如直接命中考量基准的 D 和 E。</w:t>
      </w:r>
    </w:p>
    <w:p>
      <w:pPr>
        <w:spacing w:before="120" w:after="40"/>
      </w:pPr>
      <w:r>
        <w:rPr>
          <w:b/>
          <w:sz w:val="21"/>
          <w:shd w:fill="D6E4F0" w:val="clear"/>
        </w:rPr>
        <w:t>B项错误：</w:t>
      </w:r>
    </w:p>
    <w:p>
      <w:pPr>
        <w:spacing w:line="360" w:lineRule="auto" w:after="40"/>
        <w:ind w:firstLine="420"/>
      </w:pPr>
      <w:r>
        <w:t>教材主张平衡成本与有效性，确保“反洗钱合规支出带来最优价值”</w:t>
      </w:r>
      <w:r>
        <w:rPr>
          <w:sz w:val="15"/>
          <w:vertAlign w:val="superscript"/>
        </w:rPr>
        <w:t>P383</w:t>
      </w:r>
      <w:r>
        <w:t>，而非单纯选择成本最低的方案。这与直接匹配核心评估维度的 D 和 E 相比，更不合教材倡导的合规评估逻辑。</w:t>
      </w:r>
    </w:p>
    <w:p>
      <w:pPr>
        <w:spacing w:before="120" w:after="40"/>
      </w:pPr>
      <w:r>
        <w:rPr>
          <w:b/>
          <w:sz w:val="21"/>
          <w:shd w:fill="D6E4F0" w:val="clear"/>
        </w:rPr>
        <w:t>C项错误：</w:t>
      </w:r>
    </w:p>
    <w:p>
      <w:pPr>
        <w:spacing w:line="360" w:lineRule="auto" w:after="40"/>
        <w:ind w:firstLine="420"/>
      </w:pPr>
      <w:r>
        <w:t>教材明确指出 AI 目前仍处于早期阶段，不太可能完全消除人工监督，而是起补充作用</w:t>
      </w:r>
      <w:r>
        <w:rPr>
          <w:sz w:val="15"/>
          <w:vertAlign w:val="superscript"/>
        </w:rPr>
        <w:t>P387</w:t>
      </w:r>
      <w:r>
        <w:t>。选项中的“完全消除”与教材的直接陈述相矛盾，因此更不应被优先考虑。</w:t>
      </w:r>
    </w:p>
    <w:p>
      <w:pPr>
        <w:spacing w:before="120" w:after="40"/>
      </w:pPr>
      <w:r>
        <w:rPr>
          <w:b/>
          <w:sz w:val="21"/>
          <w:shd w:fill="D6E4F0" w:val="clear"/>
        </w:rPr>
        <w:t>易错提醒：</w:t>
      </w:r>
    </w:p>
    <w:p>
      <w:pPr>
        <w:spacing w:line="360" w:lineRule="auto" w:after="40"/>
        <w:ind w:firstLine="420"/>
      </w:pPr>
      <w:r>
        <w:t>容易混淆“技术功能特性”与“技术评估标准”。教材系统地定义了选择反金融犯罪工具时的通用基准框架（如可扩展性、集成性），而具体功能（如实时分析、自动化）是实现该基准的手段。在选工具时，“优先考虑”的是教材框架下的宽泛标准，而非某一项具体功能。</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