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(中英对照)</w:t>
      </w:r>
    </w:p>
    <w:p>
      <w:pPr>
        <w:spacing w:line="360" w:lineRule="auto" w:after="160"/>
      </w:pPr>
      <w:r>
        <w:t>一、单项选择题</w:t>
      </w:r>
    </w:p>
    <w:p>
      <w:pPr>
        <w:spacing w:line="360" w:lineRule="auto" w:after="40"/>
      </w:pPr>
      <w:r>
        <w:t>1. 一家在全球多个国家（包括美国、欧盟及其他国家）开展业务的大型银行的首席合规官负责应对与反洗钱（AML）和制裁相关的美国和欧盟法规，以及该银行在各运营国所须遵守的任何当地法规。银行首要的合规关注点应该是什么？</w:t>
      </w:r>
      <w:r>
        <w:br/>
      </w:r>
      <w:r>
        <w:t>The chief compliance officer at a global bank that operates in the U.S., EU, and other countries is responsible for navigating the U.S. and EU regulations related to anti-money laundering (AML) and sanctions, as well as any local regulations in the countries where it operates. What should be the primary compliance concern of the bank?</w:t>
      </w:r>
    </w:p>
    <w:p>
      <w:pPr>
        <w:spacing w:line="360" w:lineRule="auto" w:after="20"/>
      </w:pPr>
      <w:r>
        <w:t>A.美国的反洗钱法规比欧盟的反洗钱指令更为严格，这使得这家全球性银行在欧盟更容易做到合规</w:t>
      </w:r>
      <w:r>
        <w:br/>
      </w:r>
      <w:r>
        <w:t>U.S. anti-money laundering regulations are stricter than the EU AML Directives, making it easier for the global bank to be compliant in the EU</w:t>
      </w:r>
    </w:p>
    <w:p>
      <w:pPr>
        <w:spacing w:line="360" w:lineRule="auto" w:after="20"/>
      </w:pPr>
      <w:r>
        <w:t>B.美国和欧盟的法规要求银行组建独立的合规团队，因此有必要为美国和欧盟的业务分别建立完全独立的系统</w:t>
      </w:r>
      <w:r>
        <w:br/>
      </w:r>
      <w:r>
        <w:t>U.S. and EU regulations require the bank to build separate compliance teams, making it necessary to establish completely separate systems for U.S. and EU operations</w:t>
      </w:r>
    </w:p>
    <w:p>
      <w:pPr>
        <w:spacing w:line="360" w:lineRule="auto" w:after="20"/>
      </w:pPr>
      <w:r>
        <w:t>C.欧盟的制裁制度比美国海外资产控制办公室（OFAC）的更为严格，因此该银行必须优先遵守欧盟法规而非美国法律，并相应地对欧洲的员工进行培训</w:t>
      </w:r>
      <w:r>
        <w:br/>
      </w:r>
      <w:r>
        <w:t>The EU sanctions regime is stricter than that of the U.S. Office of Foreign Assets Control (OFAC), so the bank must prioritize compliance with EU regulations over U.S. laws and train the staff in Europe accordingly</w:t>
      </w:r>
    </w:p>
    <w:p>
      <w:pPr>
        <w:spacing w:line="360" w:lineRule="auto" w:after="20"/>
      </w:pPr>
      <w:r>
        <w:t>D.在遵守美国《银行保密法》（BSA）和美国海外资产控制办公室（OFAC）制裁规定的同时，还要确保符合欧盟反洗钱指令和《通用数据保护条例》（GDPR），这使得跨境数据共享变得复杂</w:t>
      </w:r>
      <w:r>
        <w:br/>
      </w:r>
      <w:r>
        <w:t>Balancing compliance with the U.S. BSA and OFAC sanctions while ensuring adherence to EU AML Directives and the GDPR, which complicates cross-border data sharing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跨国银行在反洗钱合规与数据隐私法规之间的冲突与平衡</w:t>
      </w:r>
    </w:p>
    <w:p>
      <w:pPr>
        <w:spacing w:before="120" w:after="40"/>
      </w:pPr>
      <w:r>
        <w:rPr>
          <w:b/>
          <w:sz w:val="21"/>
          <w:shd w:fill="D6E4F0" w:val="clear"/>
        </w:rPr>
        <w:t>核心解析：</w:t>
      </w:r>
    </w:p>
    <w:p>
      <w:pPr>
        <w:spacing w:line="360" w:lineRule="auto" w:after="40"/>
        <w:ind w:firstLine="420"/>
      </w:pPr>
      <w:r>
        <w:t>在全球运营的银行面临的核心挑战，不是比较哪个法域的规则“更严”，而是不同法域的规则在操作层面产生内在冲突。教材指出，</w:t>
      </w:r>
      <w:r>
        <w:rPr>
          <w:b/>
        </w:rPr>
        <w:t>跨境数据传输受到各司法管辖区的严格监管</w:t>
      </w:r>
      <w:r>
        <w:rPr>
          <w:sz w:val="15"/>
          <w:vertAlign w:val="superscript"/>
        </w:rPr>
        <w:t>P392</w:t>
      </w:r>
      <w:r>
        <w:t>，组织必须同时遵守反洗钱义务和《通用数据保护条例》（GDPR）</w:t>
      </w:r>
      <w:r>
        <w:rPr>
          <w:sz w:val="15"/>
          <w:vertAlign w:val="superscript"/>
        </w:rPr>
        <w:t>P212</w:t>
      </w:r>
      <w:r>
        <w:t>。题干中，银行需同时处理美国BSA/OFAC制裁规定与欧盟反洗钱指令/GDPR所带来的合规要求；AML/KYC和制裁筛查会涉及客户身份数据的处理，并可能需要在适用法律范围内进行信息共享，而GDPR和其他数据保护规则会对数据处理及跨境传输提出约束</w:t>
      </w:r>
      <w:r>
        <w:rPr>
          <w:sz w:val="15"/>
          <w:vertAlign w:val="superscript"/>
        </w:rPr>
        <w:t>P212、P263、P392</w:t>
      </w:r>
      <w:r>
        <w:t>。这些要求在同一业务操作中产生张力，使得“跨境数据共享变得复杂”成为该银行首要的合规关注点。选项D精准抓住了这一法域间义务冲突的本质。</w:t>
      </w:r>
    </w:p>
    <w:p>
      <w:pPr>
        <w:spacing w:before="120" w:after="40"/>
      </w:pPr>
      <w:r>
        <w:rPr>
          <w:b/>
          <w:sz w:val="21"/>
          <w:shd w:fill="D6E4F0" w:val="clear"/>
        </w:rPr>
        <w:t>教材原句：</w:t>
      </w:r>
    </w:p>
    <w:p>
      <w:pPr>
        <w:spacing w:line="360" w:lineRule="auto" w:after="40"/>
        <w:ind w:firstLine="420"/>
      </w:pPr>
      <w:r>
        <w:t>"data sharing with other banks, government agencies, or law enforcement introduces complexity, as jurisdictions tightly regulate cross-border transfers of personal data."</w:t>
      </w:r>
    </w:p>
    <w:p>
      <w:pPr>
        <w:spacing w:before="120" w:after="40"/>
      </w:pPr>
      <w:r>
        <w:rPr>
          <w:b/>
          <w:sz w:val="21"/>
          <w:shd w:fill="D6E4F0" w:val="clear"/>
        </w:rPr>
        <w:t>A项错误：</w:t>
      </w:r>
    </w:p>
    <w:p>
      <w:pPr>
        <w:spacing w:line="360" w:lineRule="auto" w:after="40"/>
        <w:ind w:firstLine="420"/>
      </w:pPr>
      <w:r>
        <w:t>选项A的核心论点是“美国的反洗钱法规比欧盟的更为严格，因此在欧盟更容易合规”——这是在比较两个法域法规的严格程度并推导合规难易。但题干问的是“银行首要的合规关注点应该是什么”（What should be the primary compliance concern），而非哪个法域更容易合规或孰严孰松。教材指出，跨境数据共享本身就因各辖区严管而带来复杂性</w:t>
      </w:r>
      <w:r>
        <w:rPr>
          <w:sz w:val="15"/>
          <w:vertAlign w:val="superscript"/>
        </w:rPr>
        <w:t>P392</w:t>
      </w:r>
      <w:r>
        <w:t>；组织必须同时遵守AML义务和GDPR</w:t>
      </w:r>
      <w:r>
        <w:rPr>
          <w:sz w:val="15"/>
          <w:vertAlign w:val="superscript"/>
        </w:rPr>
        <w:t>P212</w:t>
      </w:r>
      <w:r>
        <w:t>，并在处理客户身份数据时必须平衡两者要求</w:t>
      </w:r>
      <w:r>
        <w:rPr>
          <w:sz w:val="15"/>
          <w:vertAlign w:val="superscript"/>
        </w:rPr>
        <w:t>P263</w:t>
      </w:r>
      <w:r>
        <w:t>。银行的首要关注点在于同时满足这些并行要求，而不是比较哪个法域更严格。选项A将“法规协调与数据处理的复杂性”偷换为“严格程度比较”，未回应题干所问。</w:t>
      </w:r>
    </w:p>
    <w:p>
      <w:pPr>
        <w:spacing w:before="120" w:after="40"/>
      </w:pPr>
      <w:r>
        <w:rPr>
          <w:b/>
          <w:sz w:val="21"/>
          <w:shd w:fill="D6E4F0" w:val="clear"/>
        </w:rPr>
        <w:t>B项错误：</w:t>
      </w:r>
    </w:p>
    <w:p>
      <w:pPr>
        <w:spacing w:line="360" w:lineRule="auto" w:after="40"/>
        <w:ind w:firstLine="420"/>
      </w:pPr>
      <w:r>
        <w:t>教材案例显示，国际金融机构的反洗钱合规官需“确保在所有运营司法管辖区遵守反洗钱法规”</w:t>
      </w:r>
      <w:r>
        <w:rPr>
          <w:sz w:val="15"/>
          <w:vertAlign w:val="superscript"/>
        </w:rPr>
        <w:t>P254</w:t>
      </w:r>
      <w:r>
        <w:t>；教材还强调全球集团反洗钱计划与当地法规之间的协调很重要</w:t>
      </w:r>
      <w:r>
        <w:rPr>
          <w:sz w:val="15"/>
          <w:vertAlign w:val="superscript"/>
        </w:rPr>
        <w:t>P194</w:t>
      </w:r>
      <w:r>
        <w:t>。这支持集团层面的协调治理，而不是为美国和欧盟建立完全独立的系统和团队。选项B的“完全独立的系统”不符合教材描述的协调与整合逻辑。</w:t>
      </w:r>
    </w:p>
    <w:p>
      <w:pPr>
        <w:spacing w:before="120" w:after="40"/>
      </w:pPr>
      <w:r>
        <w:rPr>
          <w:b/>
          <w:sz w:val="21"/>
          <w:shd w:fill="D6E4F0" w:val="clear"/>
        </w:rPr>
        <w:t>C项错误：</w:t>
      </w:r>
    </w:p>
    <w:p>
      <w:pPr>
        <w:spacing w:line="360" w:lineRule="auto" w:after="40"/>
        <w:ind w:firstLine="420"/>
      </w:pPr>
      <w:r>
        <w:t>欧盟与美国制裁制度并不是可由机构择一优先遵守的替代关系。该银行在美国和欧盟均有业务，必须根据各业务和司法管辖联系同时满足适用的美国、欧盟及当地法律要求。</w:t>
      </w:r>
    </w:p>
    <w:p>
      <w:pPr>
        <w:spacing w:before="120" w:after="40"/>
      </w:pPr>
      <w:r>
        <w:rPr>
          <w:b/>
          <w:sz w:val="21"/>
          <w:shd w:fill="D6E4F0" w:val="clear"/>
        </w:rPr>
        <w:t>易错提醒：</w:t>
      </w:r>
    </w:p>
    <w:p>
      <w:pPr>
        <w:spacing w:line="360" w:lineRule="auto" w:after="40"/>
        <w:ind w:firstLine="420"/>
      </w:pPr>
      <w:r>
        <w:t>本题容易将“法规要求存在差异”误判为“某法规更严格，故需优先遵守或更容易合规”。教材强调的是，AML/KYC等合规工作涉及客户身份数据处理，而数据隐私法规会对数据处理和跨境共享提出约束</w:t>
      </w:r>
      <w:r>
        <w:rPr>
          <w:sz w:val="15"/>
          <w:vertAlign w:val="superscript"/>
        </w:rPr>
        <w:t>P212、P263、P392</w:t>
      </w:r>
      <w:r>
        <w:t>。核心难点不在于比较规则本身的严格程度，而在于同时满足相互制约的两套要求。</w:t>
      </w:r>
    </w:p>
    <w:p>
      <w:pPr>
        <w:spacing w:line="360" w:lineRule="auto" w:after="120"/>
      </w:pPr>
      <w:r/>
    </w:p>
    <w:p>
      <w:pPr>
        <w:spacing w:line="360" w:lineRule="auto" w:after="40"/>
      </w:pPr>
      <w:r>
        <w:t>2. 隐私增强技术(PETS)在反洗钱方面的一个关键优势在于它们能够提供:</w:t>
      </w:r>
      <w:r>
        <w:br/>
      </w:r>
      <w:r>
        <w:t>A key advantage of privacy-enhancing technologies (PETs) in anti-money laundering is that they offer:</w:t>
      </w:r>
    </w:p>
    <w:p>
      <w:pPr>
        <w:spacing w:line="360" w:lineRule="auto" w:after="20"/>
      </w:pPr>
      <w:r>
        <w:t>A.对底层数据进行同步加密和解密</w:t>
      </w:r>
      <w:r>
        <w:br/>
      </w:r>
      <w:r>
        <w:t>Simultaneous encryption and decryption of underlying data</w:t>
      </w:r>
    </w:p>
    <w:p>
      <w:pPr>
        <w:spacing w:line="360" w:lineRule="auto" w:after="20"/>
      </w:pPr>
      <w:r>
        <w:t>B.对底层数据的完全访问权限,并能对数据进行完整且不间断的计算.</w:t>
      </w:r>
      <w:r>
        <w:br/>
      </w:r>
      <w:r>
        <w:t>Full access to underlying data, with full and uninterrupted calculations made on the data</w:t>
      </w:r>
    </w:p>
    <w:p>
      <w:pPr>
        <w:spacing w:line="360" w:lineRule="auto" w:after="20"/>
      </w:pPr>
      <w:r>
        <w:t>C.在数据保持加密状态下对其进行安全处理.</w:t>
      </w:r>
      <w:r>
        <w:br/>
      </w:r>
      <w:r>
        <w:t>Secure processing of data while it remains encrypted</w:t>
      </w:r>
    </w:p>
    <w:p>
      <w:pPr>
        <w:spacing w:line="360" w:lineRule="auto" w:after="20"/>
      </w:pPr>
      <w:r>
        <w:t>D.数据处理者对数据的传输、解密和存储.</w:t>
      </w:r>
      <w:r>
        <w:br/>
      </w:r>
      <w:r>
        <w:t>Transfer, decryption, and storage of data by the data processor</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识别同态加密这一类PET的加密态计算能力</w:t>
      </w:r>
    </w:p>
    <w:p>
      <w:pPr>
        <w:spacing w:before="120" w:after="40"/>
      </w:pPr>
      <w:r>
        <w:rPr>
          <w:b/>
          <w:sz w:val="21"/>
          <w:shd w:fill="D6E4F0" w:val="clear"/>
        </w:rPr>
        <w:t>核心解析：</w:t>
      </w:r>
    </w:p>
    <w:p>
      <w:pPr>
        <w:spacing w:line="360" w:lineRule="auto" w:after="40"/>
        <w:ind w:firstLine="420"/>
      </w:pPr>
      <w:r>
        <w:t>隐私增强技术（PETs）是能在保护个人隐私的同时实现数据共享与分析的一组工具</w:t>
      </w:r>
      <w:r>
        <w:rPr>
          <w:sz w:val="15"/>
          <w:vertAlign w:val="superscript"/>
        </w:rPr>
        <w:t>P393</w:t>
      </w:r>
      <w:r>
        <w:t>。教材列举的同态加密允许</w:t>
      </w:r>
      <w:r>
        <w:rPr>
          <w:b/>
        </w:rPr>
        <w:t>直接对加密数据执行计算，无需先解密</w:t>
      </w:r>
      <w:r>
        <w:t>，并由此支持保护隐私的协作分析</w:t>
      </w:r>
      <w:r>
        <w:rPr>
          <w:sz w:val="15"/>
          <w:vertAlign w:val="superscript"/>
        </w:rPr>
        <w:t>P393</w:t>
      </w:r>
      <w:r>
        <w:t>。因此，PETs可以通过同态加密提供“数据保持加密状态时仍可安全处理”的能力，选项C直接对应这一教材示例。该能力使反洗钱参与方能够分析敏感金融数据，同时降低暴露底层个人信息的风险</w:t>
      </w:r>
      <w:r>
        <w:rPr>
          <w:sz w:val="15"/>
          <w:vertAlign w:val="superscript"/>
        </w:rPr>
        <w:t>P393</w:t>
      </w:r>
      <w:r>
        <w:t>。这里的加密态计算特征具体属于同态加密，并非对所有PET实现方式的统一定义。</w:t>
      </w:r>
    </w:p>
    <w:p>
      <w:pPr>
        <w:spacing w:before="120" w:after="40"/>
      </w:pPr>
      <w:r>
        <w:rPr>
          <w:b/>
          <w:sz w:val="21"/>
          <w:shd w:fill="D6E4F0" w:val="clear"/>
        </w:rPr>
        <w:t>教材原句：</w:t>
      </w:r>
    </w:p>
    <w:p>
      <w:pPr>
        <w:spacing w:line="360" w:lineRule="auto" w:after="40"/>
        <w:ind w:firstLine="420"/>
      </w:pPr>
      <w:r>
        <w:t>"Homomorphic encryption: Using this technique, computations can be performed on encrypted data without needing to decrypt it first. This enables collaborative analysis of encrypted data, preserving privacy while maintaining utility."</w:t>
      </w:r>
    </w:p>
    <w:p>
      <w:pPr>
        <w:spacing w:before="120" w:after="40"/>
      </w:pPr>
      <w:r>
        <w:rPr>
          <w:b/>
          <w:sz w:val="21"/>
          <w:shd w:fill="D6E4F0" w:val="clear"/>
        </w:rPr>
        <w:t>A项错误：</w:t>
      </w:r>
    </w:p>
    <w:p>
      <w:pPr>
        <w:spacing w:line="360" w:lineRule="auto" w:after="40"/>
        <w:ind w:firstLine="420"/>
      </w:pPr>
      <w:r>
        <w:t>教材对同态加密的表述是“无需先解密即可计算”</w:t>
      </w:r>
      <w:r>
        <w:rPr>
          <w:sz w:val="15"/>
          <w:vertAlign w:val="superscript"/>
        </w:rPr>
        <w:t>P393</w:t>
      </w:r>
      <w:r>
        <w:t>，而非对底层数据同步执行加密和解密。选项A没有描述教材所列的加密态计算能力。</w:t>
      </w:r>
    </w:p>
    <w:p>
      <w:pPr>
        <w:spacing w:before="120" w:after="40"/>
      </w:pPr>
      <w:r>
        <w:rPr>
          <w:b/>
          <w:sz w:val="21"/>
          <w:shd w:fill="D6E4F0" w:val="clear"/>
        </w:rPr>
        <w:t>B项错误：</w:t>
      </w:r>
    </w:p>
    <w:p>
      <w:pPr>
        <w:spacing w:line="360" w:lineRule="auto" w:after="40"/>
        <w:ind w:firstLine="420"/>
      </w:pPr>
      <w:r>
        <w:t>PETs的核心设计目标是保护隐私</w:t>
      </w:r>
      <w:r>
        <w:rPr>
          <w:sz w:val="15"/>
          <w:vertAlign w:val="superscript"/>
        </w:rPr>
        <w:t>P393</w:t>
      </w:r>
      <w:r>
        <w:t>，因此“完全访问权限”（Full access）与教材定义直接矛盾——教材明确指出PETs使机构能在“不暴露个人身份信息（PII）”的前提下协作</w:t>
      </w:r>
      <w:r>
        <w:rPr>
          <w:sz w:val="15"/>
          <w:vertAlign w:val="superscript"/>
        </w:rPr>
        <w:t>P393</w:t>
      </w:r>
      <w:r>
        <w:t>。题干更匹配在限制访问的同时进行计算，而非要求对底层数据的完全访问。</w:t>
      </w:r>
    </w:p>
    <w:p>
      <w:pPr>
        <w:spacing w:before="120" w:after="40"/>
      </w:pPr>
      <w:r>
        <w:rPr>
          <w:b/>
          <w:sz w:val="21"/>
          <w:shd w:fill="D6E4F0" w:val="clear"/>
        </w:rPr>
        <w:t>D项错误：</w:t>
      </w:r>
    </w:p>
    <w:p>
      <w:pPr>
        <w:spacing w:line="360" w:lineRule="auto" w:after="40"/>
        <w:ind w:firstLine="420"/>
      </w:pPr>
      <w:r>
        <w:t>数据传输、解密和存储是常规数据处理步骤，不能体现题干所问的隐私增强优势。与之相比，选项C直接对应同态加密“无需先解密即可计算”的教材原文</w:t>
      </w:r>
      <w:r>
        <w:rPr>
          <w:sz w:val="15"/>
          <w:vertAlign w:val="superscript"/>
        </w:rPr>
        <w:t>P393</w:t>
      </w:r>
      <w:r>
        <w:t>。</w:t>
      </w:r>
    </w:p>
    <w:p>
      <w:pPr>
        <w:spacing w:before="120" w:after="40"/>
      </w:pPr>
      <w:r>
        <w:rPr>
          <w:b/>
          <w:sz w:val="21"/>
          <w:shd w:fill="D6E4F0" w:val="clear"/>
        </w:rPr>
        <w:t>易错提醒：</w:t>
      </w:r>
    </w:p>
    <w:p>
      <w:pPr>
        <w:spacing w:line="360" w:lineRule="auto" w:after="40"/>
        <w:ind w:firstLine="420"/>
      </w:pPr>
      <w:r>
        <w:t>PETs是包含多种实现方式的技术集合</w:t>
      </w:r>
      <w:r>
        <w:rPr>
          <w:sz w:val="15"/>
          <w:vertAlign w:val="superscript"/>
        </w:rPr>
        <w:t>P393</w:t>
      </w:r>
      <w:r>
        <w:t>；本题C项具体对应其中的同态加密</w:t>
      </w:r>
      <w:r>
        <w:rPr>
          <w:sz w:val="15"/>
          <w:vertAlign w:val="superscript"/>
        </w:rPr>
        <w:t>P393</w:t>
      </w:r>
      <w:r>
        <w:t>。可以说“同态加密支持加密态计算”，但不应反推所有PET都必须让数据全程保持加密状态。</w:t>
      </w:r>
    </w:p>
    <w:p>
      <w:pPr>
        <w:spacing w:line="360" w:lineRule="auto" w:after="120"/>
      </w:pPr>
      <w:r/>
    </w:p>
    <w:p>
      <w:pPr>
        <w:spacing w:line="360" w:lineRule="auto" w:after="40"/>
      </w:pPr>
      <w:r>
        <w:t>3. 哪些技术通常被用于帮助金融机构(FIs)在安全地与私营第三方实体共享客户信息的同时，遵守隐私和数据保护法规？（选择两项。）</w:t>
      </w:r>
      <w:r>
        <w:br/>
      </w:r>
      <w:r>
        <w:t>Which technologies are commonly used to help financial institutions (FIs) navigate privacy and data protection regulations while securely sharing client information with private third-party entities? (Choose Two.)</w:t>
      </w:r>
    </w:p>
    <w:p>
      <w:pPr>
        <w:spacing w:line="360" w:lineRule="auto" w:after="20"/>
      </w:pPr>
      <w:r>
        <w:t>A.利用区块链确保共享数据交易的可追溯性和安全性</w:t>
      </w:r>
      <w:r>
        <w:br/>
      </w:r>
      <w:r>
        <w:t>Blockchain to ensure traceability and security in shared data transactions</w:t>
      </w:r>
    </w:p>
    <w:p>
      <w:pPr>
        <w:spacing w:line="360" w:lineRule="auto" w:after="20"/>
      </w:pPr>
      <w:r>
        <w:t>B.数据加密以保护敏感信息免受未经授权的访问</w:t>
      </w:r>
      <w:r>
        <w:br/>
      </w:r>
      <w:r>
        <w:t>Data encryption to protect sensitive information from unauthorized access</w:t>
      </w:r>
    </w:p>
    <w:p>
      <w:pPr>
        <w:spacing w:line="360" w:lineRule="auto" w:after="20"/>
      </w:pPr>
      <w:r>
        <w:t>C.隐私增强技术(PETs)，以实现安全且符合隐私保护要求的数据共享</w:t>
      </w:r>
      <w:r>
        <w:br/>
      </w:r>
      <w:r>
        <w:t>Privacy-enhancing technologies (PETs) to enable secure and privacy-compliant data sharing</w:t>
      </w:r>
    </w:p>
    <w:p>
      <w:pPr>
        <w:spacing w:line="360" w:lineRule="auto" w:after="20"/>
      </w:pPr>
      <w:r>
        <w:t>D.人工智能(AI)用于自动化合规流程，例如数据匿名化和安全共享</w:t>
      </w:r>
      <w:r>
        <w:br/>
      </w:r>
      <w:r>
        <w:t>Artificial intelligence (AI) to automate compliance processes such as data anonymization and secure sharing</w:t>
      </w:r>
    </w:p>
    <w:p>
      <w:pPr>
        <w:spacing w:line="360" w:lineRule="auto" w:after="20"/>
      </w:pPr>
      <w:r>
        <w:t>E.用于高效数据处理和管理的云存储解决方案</w:t>
      </w:r>
      <w:r>
        <w:br/>
      </w:r>
      <w:r>
        <w:t>Cloud storage solutions for efficient data processing and management</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识别助力隐私合规数据共享的核心技术：数据加密与隐私增强技术(PETs)</w:t>
      </w:r>
    </w:p>
    <w:p>
      <w:pPr>
        <w:spacing w:before="120" w:after="40"/>
      </w:pPr>
      <w:r>
        <w:rPr>
          <w:b/>
          <w:sz w:val="21"/>
          <w:shd w:fill="D6E4F0" w:val="clear"/>
        </w:rPr>
        <w:t>核心解析：</w:t>
      </w:r>
    </w:p>
    <w:p>
      <w:pPr>
        <w:spacing w:line="360" w:lineRule="auto" w:after="40"/>
        <w:ind w:firstLine="420"/>
      </w:pPr>
      <w:r>
        <w:t>题干问的是：与私营第三方安全共享客户信息时，帮助金融机构遵守隐私和数据保护法规的技术。教材在“</w:t>
      </w:r>
      <w:r>
        <w:rPr>
          <w:b/>
        </w:rPr>
        <w:t>隐私增强技术(PET)</w:t>
      </w:r>
      <w:r>
        <w:t>”部分直接回应了这一场景——PET 包括联邦学习、安全多方计算、数据匿名化等</w:t>
      </w:r>
      <w:r>
        <w:rPr>
          <w:sz w:val="15"/>
          <w:vertAlign w:val="superscript"/>
        </w:rPr>
        <w:t>P392</w:t>
      </w:r>
      <w:r>
        <w:t>，能够在保护隐私和合规的同时实现安全的数据分析与共享</w:t>
      </w:r>
      <w:r>
        <w:rPr>
          <w:sz w:val="15"/>
          <w:vertAlign w:val="superscript"/>
        </w:rPr>
        <w:t>P392</w:t>
      </w:r>
      <w:r>
        <w:t>，并确保符合 GDPR 和 GLBA 等数据保护法规</w:t>
      </w:r>
      <w:r>
        <w:rPr>
          <w:sz w:val="15"/>
          <w:vertAlign w:val="superscript"/>
        </w:rPr>
        <w:t>P393</w:t>
      </w:r>
      <w:r>
        <w:t>。因此选项 C“隐私增强技术(PETs)，以实现安全且符合隐私保护要求的数据共享”与题干完全匹配。同时，教材在多处将</w:t>
      </w:r>
      <w:r>
        <w:rPr>
          <w:b/>
        </w:rPr>
        <w:t>数据加密</w:t>
      </w:r>
      <w:r>
        <w:t>列为遵守隐私法律的核心要求，例如，在集成筛查系统时强调“应实施强加密方法以保护敏感数据，并限制访问”</w:t>
      </w:r>
      <w:r>
        <w:rPr>
          <w:sz w:val="15"/>
          <w:vertAlign w:val="superscript"/>
        </w:rPr>
        <w:t>P426</w:t>
      </w:r>
      <w:r>
        <w:t>，在技术实施考量中要求“确保安全的数据存储、加密和访问控制以降低网络安全风险”</w:t>
      </w:r>
      <w:r>
        <w:rPr>
          <w:sz w:val="15"/>
          <w:vertAlign w:val="superscript"/>
        </w:rPr>
        <w:t>P378</w:t>
      </w:r>
      <w:r>
        <w:t>。加密直接保护共享中的敏感信息免遭未授权访问，因此选项 B“数据加密以保护敏感信息免受未经授权的访问”同样是教材明确指向的技术，与题干条件高度吻合。</w:t>
      </w:r>
    </w:p>
    <w:p>
      <w:pPr>
        <w:spacing w:before="120" w:after="40"/>
      </w:pPr>
      <w:r>
        <w:rPr>
          <w:b/>
          <w:sz w:val="21"/>
          <w:shd w:fill="D6E4F0" w:val="clear"/>
        </w:rPr>
        <w:t>教材原句：</w:t>
      </w:r>
    </w:p>
    <w:p>
      <w:pPr>
        <w:spacing w:line="360" w:lineRule="auto" w:after="40"/>
        <w:ind w:firstLine="420"/>
      </w:pPr>
      <w:r>
        <w:t>"To address these challenges, banks can adopt privacy-enhancing technologies (PET), such as federated learning, secure multiparty computation, or data anonymization."</w:t>
      </w:r>
    </w:p>
    <w:p>
      <w:pPr>
        <w:spacing w:before="120" w:after="40"/>
      </w:pPr>
      <w:r>
        <w:rPr>
          <w:b/>
          <w:sz w:val="21"/>
          <w:shd w:fill="D6E4F0" w:val="clear"/>
        </w:rPr>
        <w:t>A项错误：</w:t>
      </w:r>
    </w:p>
    <w:p>
      <w:pPr>
        <w:spacing w:line="360" w:lineRule="auto" w:after="40"/>
        <w:ind w:firstLine="420"/>
      </w:pPr>
      <w:r>
        <w:t>教材指出区块链具有不可篡改性和安全性</w:t>
      </w:r>
      <w:r>
        <w:rPr>
          <w:sz w:val="15"/>
          <w:vertAlign w:val="superscript"/>
        </w:rPr>
        <w:t>P110</w:t>
      </w:r>
      <w:r>
        <w:t>，其重点在于交易记录的完整与可追溯，而非专门服务于隐私法规下的数据共享。区块链的透明性特征反而可能增加隐私保护的复杂度，与题干要求的“遵守隐私和数据保护法规”的匹配度不如 PET 和数据加密直接。</w:t>
      </w:r>
    </w:p>
    <w:p>
      <w:pPr>
        <w:spacing w:before="120" w:after="40"/>
      </w:pPr>
      <w:r>
        <w:rPr>
          <w:b/>
          <w:sz w:val="21"/>
          <w:shd w:fill="D6E4F0" w:val="clear"/>
        </w:rPr>
        <w:t>D项错误：</w:t>
      </w:r>
    </w:p>
    <w:p>
      <w:pPr>
        <w:spacing w:line="360" w:lineRule="auto" w:after="40"/>
        <w:ind w:firstLine="420"/>
      </w:pPr>
      <w:r>
        <w:t>教材提到 AI 可用于自动化合规流程，如标记不一致和缺失数据</w:t>
      </w:r>
      <w:r>
        <w:rPr>
          <w:sz w:val="15"/>
          <w:vertAlign w:val="superscript"/>
        </w:rPr>
        <w:t>P314</w:t>
      </w:r>
      <w:r>
        <w:t>，但未将 AI 直接描述为实现隐私合规数据共享的技术。选项 D 中的“例如数据匿名化和安全共享”实际上属于 PET 的范畴（P392-393），由 AI 来统摄这些示例在教材中并无明确支撑，因此其匹配度不如专门指向隐私保护的 PET 和加密。</w:t>
      </w:r>
    </w:p>
    <w:p>
      <w:pPr>
        <w:spacing w:before="120" w:after="40"/>
      </w:pPr>
      <w:r>
        <w:rPr>
          <w:b/>
          <w:sz w:val="21"/>
          <w:shd w:fill="D6E4F0" w:val="clear"/>
        </w:rPr>
        <w:t>E项错误：</w:t>
      </w:r>
    </w:p>
    <w:p>
      <w:pPr>
        <w:spacing w:line="360" w:lineRule="auto" w:after="40"/>
        <w:ind w:firstLine="420"/>
      </w:pPr>
      <w:r>
        <w:t>云存储解决方案在教材中更多作为数据存储和处理的基础设施出现</w:t>
      </w:r>
      <w:r>
        <w:rPr>
          <w:sz w:val="15"/>
          <w:vertAlign w:val="superscript"/>
        </w:rPr>
        <w:t>P480</w:t>
      </w:r>
      <w:r>
        <w:t>，并未被赋予直接保障隐私合规安全共享的功能。题干要求的是帮助遵守隐私法规的技术，而不是通用的数据管理方案，因此匹配度远低于加密和 PET。</w:t>
      </w:r>
    </w:p>
    <w:p>
      <w:pPr>
        <w:spacing w:before="120" w:after="40"/>
      </w:pPr>
      <w:r>
        <w:rPr>
          <w:b/>
          <w:sz w:val="21"/>
          <w:shd w:fill="D6E4F0" w:val="clear"/>
        </w:rPr>
        <w:t>易错提醒：</w:t>
      </w:r>
    </w:p>
    <w:p>
      <w:pPr>
        <w:spacing w:line="360" w:lineRule="auto" w:after="40"/>
        <w:ind w:firstLine="420"/>
      </w:pPr>
      <w:r>
        <w:t>AI 可以辅助合规自动化，但教材中“数据匿名化”属于隐私增强技术(PET)的具体手段，而非 AI 的示例。遇到类似选项时，注意区分技术是实现隐私保护本身（如 PET、加密），还是仅用于流程自动化。</w:t>
      </w:r>
    </w:p>
    <w:p>
      <w:pPr>
        <w:spacing w:line="360" w:lineRule="auto" w:after="120"/>
      </w:pPr>
      <w:r/>
    </w:p>
    <w:p>
      <w:pPr>
        <w:spacing w:line="360" w:lineRule="auto" w:after="40"/>
      </w:pPr>
      <w:r>
        <w:t>4. 以下哪些是与数据保护相关的良好实践,有助于确保反洗钱合规性？（选择三项。）</w:t>
      </w:r>
      <w:r>
        <w:br/>
      </w:r>
      <w:r>
        <w:t>Which of the following approaches should be used in combination to ensure customer data protection and AML compliance? (Select Three.)</w:t>
      </w:r>
    </w:p>
    <w:p>
      <w:pPr>
        <w:spacing w:line="360" w:lineRule="auto" w:after="20"/>
      </w:pPr>
      <w:r>
        <w:t>A.数据加密</w:t>
      </w:r>
      <w:r>
        <w:br/>
      </w:r>
      <w:r>
        <w:t>Data encryption</w:t>
      </w:r>
    </w:p>
    <w:p>
      <w:pPr>
        <w:spacing w:line="360" w:lineRule="auto" w:after="20"/>
      </w:pPr>
      <w:r>
        <w:t>B.数据最小化</w:t>
      </w:r>
      <w:r>
        <w:br/>
      </w:r>
      <w:r>
        <w:t>Data minimization</w:t>
      </w:r>
    </w:p>
    <w:p>
      <w:pPr>
        <w:spacing w:line="360" w:lineRule="auto" w:after="20"/>
      </w:pPr>
      <w:r>
        <w:t>C.全面的数据收集</w:t>
      </w:r>
      <w:r>
        <w:br/>
      </w:r>
      <w:r>
        <w:t>Comprehensive data collection</w:t>
      </w:r>
    </w:p>
    <w:p>
      <w:pPr>
        <w:spacing w:line="360" w:lineRule="auto" w:after="20"/>
      </w:pPr>
      <w:r>
        <w:t>D.访问控制</w:t>
      </w:r>
      <w:r>
        <w:br/>
      </w:r>
      <w:r>
        <w:t>Access controls</w:t>
      </w:r>
    </w:p>
    <w:p>
      <w:pPr>
        <w:spacing w:line="360" w:lineRule="auto" w:after="20"/>
      </w:pPr>
      <w:r>
        <w:t>E.超出监管要求保存客户数据</w:t>
      </w:r>
      <w:r>
        <w:br/>
      </w:r>
      <w:r>
        <w:t>Saving customer data beyond regulatory requirements</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数据保护原则（加密、最小化、访问控制）在反洗钱合规中的具体实践要求</w:t>
      </w:r>
    </w:p>
    <w:p>
      <w:pPr>
        <w:spacing w:before="120" w:after="40"/>
      </w:pPr>
      <w:r>
        <w:rPr>
          <w:b/>
          <w:sz w:val="21"/>
          <w:shd w:fill="D6E4F0" w:val="clear"/>
        </w:rPr>
        <w:t>核心解析：</w:t>
      </w:r>
    </w:p>
    <w:p>
      <w:pPr>
        <w:spacing w:line="360" w:lineRule="auto" w:after="40"/>
        <w:ind w:firstLine="420"/>
      </w:pPr>
      <w:r>
        <w:t>GDPR等数据保护法规对处理个人数据施加严格限制，明确要求组织遵守</w:t>
      </w:r>
      <w:r>
        <w:rPr>
          <w:b/>
        </w:rPr>
        <w:t>数据最小化、目的限制</w:t>
      </w:r>
      <w:r>
        <w:t>等原则(P392)。在反洗钱合规中，这转化为三项具体要求：一是</w:t>
      </w:r>
      <w:r>
        <w:rPr>
          <w:b/>
        </w:rPr>
        <w:t>数据加密</w:t>
      </w:r>
      <w:r>
        <w:t>，组织应实施强加密方法保护敏感数据(P426)，并确保安全数据存储、加密和访问控制以降低网络安全风险(P378)；二是</w:t>
      </w:r>
      <w:r>
        <w:rPr>
          <w:b/>
        </w:rPr>
        <w:t>数据最小化</w:t>
      </w:r>
      <w:r>
        <w:t>，在客户尽职调查过程中，组织应与法律团队合作确保合法处理、数据最小化及客户同意管理(P263)；三是</w:t>
      </w:r>
      <w:r>
        <w:rPr>
          <w:b/>
        </w:rPr>
        <w:t>访问控制</w:t>
      </w:r>
      <w:r>
        <w:t>，基于角色的访问控制模型根据最终用户角色授权其对特定系统和数据的访问(P490)，参与数据共享的组织必须实施控制以防止未经授权的访问(P392)。题干中的“数据保护相关良好实践”直接对应这些法规要求，A、B、D分别对应加密、最小化、访问控制三项核心技术措施。</w:t>
      </w:r>
    </w:p>
    <w:p>
      <w:pPr>
        <w:spacing w:before="120" w:after="40"/>
      </w:pPr>
      <w:r>
        <w:rPr>
          <w:b/>
          <w:sz w:val="21"/>
          <w:shd w:fill="D6E4F0" w:val="clear"/>
        </w:rPr>
        <w:t>教材原句：</w:t>
      </w:r>
    </w:p>
    <w:p>
      <w:pPr>
        <w:spacing w:line="360" w:lineRule="auto" w:after="40"/>
        <w:ind w:firstLine="420"/>
      </w:pPr>
      <w:r>
        <w:t>"GDPR imposes strict rules on handling the personal data of EU citizens, emphasizing principles such as data minimization, purpose limitation, storage limitation, and the right to erasure."</w:t>
      </w:r>
    </w:p>
    <w:p>
      <w:pPr>
        <w:spacing w:before="120" w:after="40"/>
      </w:pPr>
      <w:r>
        <w:rPr>
          <w:b/>
          <w:sz w:val="21"/>
          <w:shd w:fill="D6E4F0" w:val="clear"/>
        </w:rPr>
        <w:t>C项错误：</w:t>
      </w:r>
    </w:p>
    <w:p>
      <w:pPr>
        <w:spacing w:line="360" w:lineRule="auto" w:after="40"/>
        <w:ind w:firstLine="420"/>
      </w:pPr>
      <w:r>
        <w:t>教材提到“数据越全面，识别可疑模式的机会越大”(P476)，但这处在“数据提取”的语境下，强调的是为有效检测金融犯罪所需的数据广度。而在数据保护原则下，GDPR要求的是数据最小化——只收集为特定目的所必需的数据。题干问的是“数据保护相关良好实践”，最小化原则比全面收集更直接匹配数据保护的合规要求。</w:t>
      </w:r>
    </w:p>
    <w:p>
      <w:pPr>
        <w:spacing w:before="120" w:after="40"/>
      </w:pPr>
      <w:r>
        <w:rPr>
          <w:b/>
          <w:sz w:val="21"/>
          <w:shd w:fill="D6E4F0" w:val="clear"/>
        </w:rPr>
        <w:t>E项错误：</w:t>
      </w:r>
    </w:p>
    <w:p>
      <w:pPr>
        <w:spacing w:line="360" w:lineRule="auto" w:after="40"/>
        <w:ind w:firstLine="420"/>
      </w:pPr>
      <w:r>
        <w:t>教材指出许多司法管辖区对数据保留期限有规定，数据在完成目的后必须安全销毁(P209)。存储限制是GDPR明确强调的原则之一(P392)。超出监管要求保存客户数据会增加数据泄露风险，与数据保护中“目的限制”和“存储限制”原则相悖，不如A、B、D项直接匹配数据保护要求。</w:t>
      </w:r>
    </w:p>
    <w:p>
      <w:pPr>
        <w:spacing w:before="120" w:after="40"/>
      </w:pPr>
      <w:r>
        <w:rPr>
          <w:b/>
          <w:sz w:val="21"/>
          <w:shd w:fill="D6E4F0" w:val="clear"/>
        </w:rPr>
        <w:t>易错提醒：</w:t>
      </w:r>
    </w:p>
    <w:p>
      <w:pPr>
        <w:spacing w:line="360" w:lineRule="auto" w:after="40"/>
        <w:ind w:firstLine="420"/>
      </w:pPr>
      <w:r>
        <w:t>“全面的数据收集”在反洗钱检测中看似合理——数据越多，发现可疑模式的机会越大(P476)。但在数据保护框架下，GDPR要求的是高质量、有针对性的数据而非大量未聚焦的个人数据。真正的区分标准是：反洗钱合规同时受两套规则约束——金融犯罪检测需要充分的数据覆盖，而数据保护法规要求严格限制数据收集范围和存储期限。两者之间需要通过数据最小化原则取得平衡，而非简单地追求数据量的最大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