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CH15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一家银行注意到由于缺乏标准化的支付消息格式,区块链交易的标记存在不一致的情况.在交易筛查工具中,应优先考虑哪项功能来解决此问题？</w:t>
      </w:r>
      <w:r>
        <w:br/>
      </w:r>
      <w:r>
        <w:t>A bank notices inconsistent tagging of blockchain transactions due to the lack of standardized payment message formats. Which functionality should be prioritized in the transaction screening tool to address this issue?</w:t>
      </w:r>
    </w:p>
    <w:p>
      <w:pPr>
        <w:spacing w:line="360" w:lineRule="auto" w:after="20"/>
      </w:pPr>
      <w:r>
        <w:t>A.对传统支付信息加强制裁筛查</w:t>
      </w:r>
      <w:r>
        <w:br/>
      </w:r>
      <w:r>
        <w:t>Enhanced sanctions screening of traditional payment messages</w:t>
      </w:r>
    </w:p>
    <w:p>
      <w:pPr>
        <w:spacing w:line="360" w:lineRule="auto" w:after="20"/>
      </w:pPr>
      <w:r>
        <w:t>B.定期人工审查与区块链相关的交易</w:t>
      </w:r>
      <w:r>
        <w:br/>
      </w:r>
      <w:r>
        <w:t>Periodic manual review of blockchain-related transactions</w:t>
      </w:r>
    </w:p>
    <w:p>
      <w:pPr>
        <w:spacing w:line="360" w:lineRule="auto" w:after="20"/>
      </w:pPr>
      <w:r>
        <w:t>C.与区块链分析提供商的集成</w:t>
      </w:r>
      <w:r>
        <w:br/>
      </w:r>
      <w:r>
        <w:t>Integration with blockchain analytics providers</w:t>
      </w:r>
    </w:p>
    <w:p>
      <w:pPr>
        <w:spacing w:line="360" w:lineRule="auto" w:after="20"/>
      </w:pPr>
      <w:r>
        <w:t>D.基于规则的系统仅关注已知的钱包地址</w:t>
      </w:r>
      <w:r>
        <w:br/>
      </w:r>
      <w:r>
        <w:t>Rule-based systems that focus only on known wallet addresses</w:t>
      </w:r>
    </w:p>
    <w:p>
      <w:pPr>
        <w:spacing w:line="360" w:lineRule="auto" w:after="40"/>
      </w:pPr>
      <w:r>
        <w:t>答案:C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识别区块链交易筛查所需的专业数据与分析能力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数字资产筛查需要分析钱包地址和交易历史等</w:t>
      </w:r>
      <w:r>
        <w:rPr>
          <w:b/>
        </w:rPr>
        <w:t>链上数据</w:t>
      </w:r>
      <w:r>
        <w:t>，并结合风险情报数据库等</w:t>
      </w:r>
      <w:r>
        <w:rPr>
          <w:b/>
        </w:rPr>
        <w:t>链下数据</w:t>
      </w:r>
      <w:r>
        <w:t>，以发现欺诈、洗钱和制裁规避</w:t>
      </w:r>
      <w:r>
        <w:rPr>
          <w:sz w:val="15"/>
          <w:vertAlign w:val="superscript"/>
        </w:rPr>
        <w:t>P434</w:t>
      </w:r>
      <w:r>
        <w:t>。数字资产交易的假名性会增加所有权和身份核验难度，因此需要高级分析和区块链取证</w:t>
      </w:r>
      <w:r>
        <w:rPr>
          <w:sz w:val="15"/>
          <w:vertAlign w:val="superscript"/>
        </w:rPr>
        <w:t>P435</w:t>
      </w:r>
      <w:r>
        <w:t>。区块链分析工具还能通过聚类显示哪些地址属于同一钱包或实体，从而加快分析</w:t>
      </w:r>
      <w:r>
        <w:rPr>
          <w:sz w:val="15"/>
          <w:vertAlign w:val="superscript"/>
        </w:rPr>
        <w:t>P487</w:t>
      </w:r>
      <w:r>
        <w:t>。题干的障碍是区块链交易缺少标准化支付消息，导致标记不一致；在四项中，只有C能把上述链上数据、链下情报和</w:t>
      </w:r>
      <w:r>
        <w:rPr>
          <w:b/>
        </w:rPr>
        <w:t>地址关联能力</w:t>
      </w:r>
      <w:r>
        <w:t>接入筛查工具，以弥补传统支付字段不足。由此可推断，应优先集成区块链分析提供商。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"The screening process involves analyzing blockchain addresses and transaction histories—or on-chain data—and using risk intelligence databases—or off-chain data—to detect illicit activities such as fraud, money laundering, and sanctions evasion."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A加强的是传统支付消息筛查，而题干缺失的恰恰是区块链交易中的标准化支付消息。数字资产筛查需要链上地址、交易历史和链下风险情报</w:t>
      </w:r>
      <w:r>
        <w:rPr>
          <w:sz w:val="15"/>
          <w:vertAlign w:val="superscript"/>
        </w:rPr>
        <w:t>P434</w:t>
      </w:r>
      <w:r>
        <w:t>，因此A没有补上题干所缺的数据类型。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人工复核可以辅助判断，但题干问应优先配置的筛查工具功能。教材指出该类复杂性需要高级分析和区块链取证</w:t>
      </w:r>
      <w:r>
        <w:rPr>
          <w:sz w:val="15"/>
          <w:vertAlign w:val="superscript"/>
        </w:rPr>
        <w:t>P435</w:t>
      </w:r>
      <w:r>
        <w:t>；定期人工审查没有给工具增加地址关联或风险情报能力，匹配度低于C。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D把范围限定为已知钱包地址，而区块链分析工具可将多个地址聚类到同一钱包并显示实体关联</w:t>
      </w:r>
      <w:r>
        <w:rPr>
          <w:sz w:val="15"/>
          <w:vertAlign w:val="superscript"/>
        </w:rPr>
        <w:t>P487</w:t>
      </w:r>
      <w:r>
        <w:t>。只查已知地址无法覆盖这种扩展分析能力，也不能充分弥补标准支付字段缺失。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不要把“缺少标准化支付消息”直接等同于“多个地址一定属于同一钱包”。本题的判断路径是：传统字段不足，需要专门的链上数据、链下风险情报和地址关联能力（P434-P435）；聚类是区块链分析工具提供的一项能力</w:t>
      </w:r>
      <w:r>
        <w:rPr>
          <w:sz w:val="15"/>
          <w:vertAlign w:val="superscript"/>
        </w:rPr>
        <w:t>P487</w:t>
      </w:r>
      <w:r>
        <w:t>，但不是题干所述不一致的唯一可能原因。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当一家金融机构(FI)考虑向虚拟资产服务提供商(VASP)提供传统银行服务时,应考虑该金融机构是否:（选择两项。）</w:t>
      </w:r>
      <w:r>
        <w:br/>
      </w:r>
      <w:r>
        <w:t>When a financial institution (FI) is considering providing traditional banking services to a virtual asset service provider (VASP), consideration should be given to whether the FI: (Select Two.)</w:t>
      </w:r>
    </w:p>
    <w:p>
      <w:pPr>
        <w:spacing w:line="360" w:lineRule="auto" w:after="20"/>
      </w:pPr>
      <w:r>
        <w:t>A.对虚拟资产有大致的了解.</w:t>
      </w:r>
      <w:r>
        <w:br/>
      </w:r>
      <w:r>
        <w:t>Has a general understanding of virtual assets.</w:t>
      </w:r>
    </w:p>
    <w:p>
      <w:pPr>
        <w:spacing w:line="360" w:lineRule="auto" w:after="20"/>
      </w:pPr>
      <w:r>
        <w:t>B.持续审查法定货币与虚拟货币之间的交易.</w:t>
      </w:r>
      <w:r>
        <w:br/>
      </w:r>
      <w:r>
        <w:t>Consistently reviews transactions between fiat and virtual currencies.</w:t>
      </w:r>
    </w:p>
    <w:p>
      <w:pPr>
        <w:spacing w:line="360" w:lineRule="auto" w:after="20"/>
      </w:pPr>
      <w:r>
        <w:t>C.实施强化的了解你的客户(KYC)措施.</w:t>
      </w:r>
      <w:r>
        <w:br/>
      </w:r>
      <w:r>
        <w:t>Implements enhanced KYC measures.</w:t>
      </w:r>
    </w:p>
    <w:p>
      <w:pPr>
        <w:spacing w:line="360" w:lineRule="auto" w:after="20"/>
      </w:pPr>
      <w:r>
        <w:t>D.自身持有虚拟货币.</w:t>
      </w:r>
      <w:r>
        <w:br/>
      </w:r>
      <w:r>
        <w:t>Owns virtual currencies itself.</w:t>
      </w:r>
    </w:p>
    <w:p>
      <w:pPr>
        <w:spacing w:line="360" w:lineRule="auto" w:after="40"/>
      </w:pPr>
      <w:r>
        <w:t>答案:A、C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为VASP提供银行服务时，如何通过交易监控与强化尽职调查管控加密资产洗钱风险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金融机构考虑向VASP提供传统银行服务前，需要理解虚拟资产业务及其风险。教材指出，提供数字资产相关服务的金融机构会聘用具备区块链、交易监控和数字资产风险缓释知识的专家，以实施与传统金融相当的严谨筛查</w:t>
      </w:r>
      <w:r>
        <w:rPr>
          <w:sz w:val="15"/>
          <w:vertAlign w:val="superscript"/>
        </w:rPr>
        <w:t>P434</w:t>
      </w:r>
      <w:r>
        <w:t>；这支持A“至少具备对虚拟资产的</w:t>
      </w:r>
      <w:r>
        <w:rPr>
          <w:b/>
        </w:rPr>
        <w:t>一般理解</w:t>
      </w:r>
      <w:r>
        <w:t>”的</w:t>
      </w:r>
      <w:r>
        <w:rPr>
          <w:b/>
        </w:rPr>
        <w:t>准入能力要求</w:t>
      </w:r>
      <w:r>
        <w:t>。教材还把监管框架外VASP列为</w:t>
      </w:r>
      <w:r>
        <w:rPr>
          <w:b/>
        </w:rPr>
        <w:t>高风险第三方</w:t>
      </w:r>
      <w:r>
        <w:rPr>
          <w:sz w:val="15"/>
          <w:vertAlign w:val="superscript"/>
        </w:rPr>
        <w:t>P148</w:t>
      </w:r>
      <w:r>
        <w:t>，而FATF/行业指引要求对高风险关系实施</w:t>
      </w:r>
      <w:r>
        <w:rPr>
          <w:b/>
        </w:rPr>
        <w:t>强化尽调</w:t>
      </w:r>
      <w:r>
        <w:rPr>
          <w:sz w:val="15"/>
          <w:vertAlign w:val="superscript"/>
        </w:rPr>
        <w:t>P169</w:t>
      </w:r>
      <w:r>
        <w:t>，因此C成立，但应理解为根据VASP及其辖区风险采取</w:t>
      </w:r>
      <w:r>
        <w:rPr>
          <w:b/>
        </w:rPr>
        <w:t>强化KYC</w:t>
      </w:r>
      <w:r>
        <w:t>，而不是无条件把所有VASP定为同等高风险。B所引“法币与加密资产兑换点需要CDD和监控”确实说明监控有风险管理价值</w:t>
      </w:r>
      <w:r>
        <w:rPr>
          <w:sz w:val="15"/>
          <w:vertAlign w:val="superscript"/>
        </w:rPr>
        <w:t>P111</w:t>
      </w:r>
      <w:r>
        <w:t>，但其主体是兑换点/VASP生态，且</w:t>
      </w:r>
      <w:r>
        <w:rPr>
          <w:b/>
        </w:rPr>
        <w:t>持续交易监控</w:t>
      </w:r>
      <w:r>
        <w:t>属于建立关系后的控制，不是本题所问的</w:t>
      </w:r>
      <w:r>
        <w:rPr>
          <w:b/>
        </w:rPr>
        <w:t>准入条件</w:t>
      </w:r>
      <w:r>
        <w:t>；不能据此替代A。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"Without proper controls, the conversion point between cryptoassets and fiat is particularly vulnerable to money laundering, but CDD checks and monitoring can help identify suspicious activities."</w:t>
      </w:r>
      <w:r>
        <w:rPr>
          <w:sz w:val="15"/>
          <w:vertAlign w:val="superscript"/>
        </w:rPr>
        <w:t>P111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教材讨论的是机构是否具备理解和管控数字资产风险的能力，并不要求金融机构自身持有</w:t>
      </w:r>
      <w:r>
        <w:rPr>
          <w:b/>
        </w:rPr>
        <w:t>虚拟货币</w:t>
      </w:r>
      <w:r>
        <w:t>；</w:t>
      </w:r>
      <w:r>
        <w:rPr>
          <w:b/>
        </w:rPr>
        <w:t>持有资产不是向VASP提供银行服务的必要条件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rPr>
          <w:b/>
        </w:rPr>
        <w:t>“一般了解”</w:t>
      </w:r>
      <w:r>
        <w:t>是业务准入能力的最低层次，不能替代对</w:t>
      </w:r>
      <w:r>
        <w:rPr>
          <w:b/>
        </w:rPr>
        <w:t>高风险VASP</w:t>
      </w:r>
      <w:r>
        <w:t>实施</w:t>
      </w:r>
      <w:r>
        <w:rPr>
          <w:b/>
        </w:rPr>
        <w:t>强化KYC</w:t>
      </w:r>
      <w:r>
        <w:t>和</w:t>
      </w:r>
      <w:r>
        <w:rPr>
          <w:b/>
        </w:rPr>
        <w:t>持续监控</w:t>
      </w:r>
      <w:r>
        <w:t>等控制措施</w:t>
      </w:r>
      <w:r>
        <w:rPr>
          <w:sz w:val="15"/>
          <w:vertAlign w:val="superscript"/>
        </w:rPr>
        <w:t>P148、P169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