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(中英对照)</w:t>
      </w:r>
    </w:p>
    <w:p>
      <w:pPr>
        <w:spacing w:line="360" w:lineRule="auto" w:after="160"/>
      </w:pPr>
      <w:r>
        <w:t>一、单项选择题</w:t>
      </w:r>
    </w:p>
    <w:p>
      <w:pPr>
        <w:spacing w:line="360" w:lineRule="auto" w:after="40"/>
      </w:pPr>
      <w:r>
        <w:t>1. 客户细分对于有效的交易监控很重要,原因在于:</w:t>
      </w:r>
      <w:r>
        <w:br/>
      </w:r>
      <w:r>
        <w:t>Customer segmentation is important for effective transaction monitoring because:</w:t>
      </w:r>
    </w:p>
    <w:p>
      <w:pPr>
        <w:spacing w:line="360" w:lineRule="auto" w:after="20"/>
      </w:pPr>
      <w:r>
        <w:t>A.所有客户都以相同的方式进行交易，这使得交易模式易于被发现。</w:t>
      </w:r>
      <w:r>
        <w:br/>
      </w:r>
      <w:r>
        <w:t>All customers transact in the same way, allowing patterns to be easily spotted</w:t>
      </w:r>
    </w:p>
    <w:p>
      <w:pPr>
        <w:spacing w:line="360" w:lineRule="auto" w:after="20"/>
      </w:pPr>
      <w:r>
        <w:t>B.在相似的同类群体中，客户行为能够得到最有效的比较和分析。</w:t>
      </w:r>
      <w:r>
        <w:br/>
      </w:r>
      <w:r>
        <w:t>Customer behavior can be compared and analyzed most effectively among similar peer groups</w:t>
      </w:r>
    </w:p>
    <w:p>
      <w:pPr>
        <w:spacing w:line="360" w:lineRule="auto" w:after="20"/>
      </w:pPr>
      <w:r>
        <w:t>C.它允许将各种各样的客户类型归入一个大组进行比较。</w:t>
      </w:r>
      <w:r>
        <w:br/>
      </w:r>
      <w:r>
        <w:t>It allows a broad range of customer types to be compared in one large group</w:t>
      </w:r>
    </w:p>
    <w:p>
      <w:pPr>
        <w:spacing w:line="360" w:lineRule="auto" w:after="20"/>
      </w:pPr>
      <w:r>
        <w:t>D.监管机构仅出于防范制裁风险的考虑而提出此建议。</w:t>
      </w:r>
      <w:r>
        <w:br/>
      </w:r>
      <w:r>
        <w:t>It is recommended by regulators solely to prevent sanctions risk</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客户细分通过建立同质比较基准来提升交易监控有效性</w:t>
      </w:r>
    </w:p>
    <w:p>
      <w:pPr>
        <w:spacing w:before="120" w:after="40"/>
      </w:pPr>
      <w:r>
        <w:rPr>
          <w:b/>
          <w:sz w:val="21"/>
          <w:shd w:fill="D6E4F0" w:val="clear"/>
        </w:rPr>
        <w:t>核心解析：</w:t>
      </w:r>
    </w:p>
    <w:p>
      <w:pPr>
        <w:spacing w:line="360" w:lineRule="auto" w:after="40"/>
        <w:ind w:firstLine="420"/>
      </w:pPr>
      <w:r>
        <w:t>客户细分指根据业务类型、交易行为和风险状况对客户进行分类</w:t>
      </w:r>
      <w:r>
        <w:rPr>
          <w:sz w:val="15"/>
          <w:vertAlign w:val="superscript"/>
        </w:rPr>
        <w:t>P436</w:t>
      </w:r>
      <w:r>
        <w:t>。完成细分后，对每个群体应用适当规则，以识别</w:t>
      </w:r>
      <w:r>
        <w:rPr>
          <w:b/>
        </w:rPr>
        <w:t>偏离该群体预期行为的客户</w:t>
      </w:r>
      <w:r>
        <w:rPr>
          <w:sz w:val="15"/>
          <w:vertAlign w:val="superscript"/>
        </w:rPr>
        <w:t>P436</w:t>
      </w:r>
      <w:r>
        <w:t>。这意味着交易监控的核心逻辑不是跨群体横向比较所有客户，而是在同类群体内部建立行为基线——街头小贩定期存现金符合预期，政府职员突然频繁存现金则偏离预期</w:t>
      </w:r>
      <w:r>
        <w:rPr>
          <w:sz w:val="15"/>
          <w:vertAlign w:val="superscript"/>
        </w:rPr>
        <w:t>P436</w:t>
      </w:r>
      <w:r>
        <w:t>。同行比较（peer-group comparisons）正是通过这种同类群体内的横向对比来优化监控规则</w:t>
      </w:r>
      <w:r>
        <w:rPr>
          <w:sz w:val="15"/>
          <w:vertAlign w:val="superscript"/>
        </w:rPr>
        <w:t>P444</w:t>
      </w:r>
      <w:r>
        <w:t>。题干问客户细分为什么对有效交易监控重要，关键就在于它创造了</w:t>
      </w:r>
      <w:r>
        <w:rPr>
          <w:b/>
        </w:rPr>
        <w:t>相似同类群体的比较基础</w:t>
      </w:r>
      <w:r>
        <w:t>，使偏离常态的行为能被更精准地识别出来。选项B“在相似的同类群体中，客户行为能够得到最有效的比较和分析”直接对应了这一逻辑。</w:t>
      </w:r>
    </w:p>
    <w:p>
      <w:pPr>
        <w:spacing w:before="120" w:after="40"/>
      </w:pPr>
      <w:r>
        <w:rPr>
          <w:b/>
          <w:sz w:val="21"/>
          <w:shd w:fill="D6E4F0" w:val="clear"/>
        </w:rPr>
        <w:t>教材原句：</w:t>
      </w:r>
    </w:p>
    <w:p>
      <w:pPr>
        <w:spacing w:line="360" w:lineRule="auto" w:after="40"/>
        <w:ind w:firstLine="420"/>
      </w:pPr>
      <w:r>
        <w:t>"Once organizations have identified customer segments, they apply appropriate rules to each segment. This provides an initial framework to identify customers who deviate from their expected behavior."</w:t>
      </w:r>
    </w:p>
    <w:p>
      <w:pPr>
        <w:spacing w:before="120" w:after="40"/>
      </w:pPr>
      <w:r>
        <w:rPr>
          <w:b/>
          <w:sz w:val="21"/>
          <w:shd w:fill="D6E4F0" w:val="clear"/>
        </w:rPr>
        <w:t>A项错误：</w:t>
      </w:r>
    </w:p>
    <w:p>
      <w:pPr>
        <w:spacing w:line="360" w:lineRule="auto" w:after="40"/>
        <w:ind w:firstLine="420"/>
      </w:pPr>
      <w:r>
        <w:t>选项A假设“所有客户以相同方式交易”，这与客户细分的核心理念相悖。教材恰恰指出不同业务类型的客户有截然不同的交易行为——街头小贩和受薪专业人士的现金存取模式完全不同</w:t>
      </w:r>
      <w:r>
        <w:rPr>
          <w:sz w:val="15"/>
          <w:vertAlign w:val="superscript"/>
        </w:rPr>
        <w:t>P436</w:t>
      </w:r>
      <w:r>
        <w:t>，交易监控必须基于群体差异来设定阈值，而不是假设所有人行为一致。题干条件更直接支持B的同群比较逻辑，而非A的同质化假设。</w:t>
      </w:r>
    </w:p>
    <w:p>
      <w:pPr>
        <w:spacing w:before="120" w:after="40"/>
      </w:pPr>
      <w:r>
        <w:rPr>
          <w:b/>
          <w:sz w:val="21"/>
          <w:shd w:fill="D6E4F0" w:val="clear"/>
        </w:rPr>
        <w:t>C项错误：</w:t>
      </w:r>
    </w:p>
    <w:p>
      <w:pPr>
        <w:spacing w:line="360" w:lineRule="auto" w:after="40"/>
        <w:ind w:firstLine="420"/>
      </w:pPr>
      <w:r>
        <w:t>选项C主张将各种客户类型“归入一个大组进行比较”，这与客户细分的核心操作方向相反。教材强调细分是按业务类型、交易行为等因素将客户分类到不同群体中</w:t>
      </w:r>
      <w:r>
        <w:rPr>
          <w:sz w:val="15"/>
          <w:vertAlign w:val="superscript"/>
        </w:rPr>
        <w:t>P436</w:t>
      </w:r>
      <w:r>
        <w:t>，并明确指出仅使用行业代码将客户分入同一组会导致监控不充分——因为没有使用营业额、规模、产品、渠道等其他属性做更精细化的细分</w:t>
      </w:r>
      <w:r>
        <w:rPr>
          <w:sz w:val="15"/>
          <w:vertAlign w:val="superscript"/>
        </w:rPr>
        <w:t>P463</w:t>
      </w:r>
      <w:r>
        <w:t>。细分的目的是拆分成更小的同质群体，而非合并为一个大组。</w:t>
      </w:r>
    </w:p>
    <w:p>
      <w:pPr>
        <w:spacing w:before="120" w:after="40"/>
      </w:pPr>
      <w:r>
        <w:rPr>
          <w:b/>
          <w:sz w:val="21"/>
          <w:shd w:fill="D6E4F0" w:val="clear"/>
        </w:rPr>
        <w:t>D项错误：</w:t>
      </w:r>
    </w:p>
    <w:p>
      <w:pPr>
        <w:spacing w:line="360" w:lineRule="auto" w:after="40"/>
        <w:ind w:firstLine="420"/>
      </w:pPr>
      <w:r>
        <w:t>选项D将客户细分的目的限定为“仅防范制裁风险”，而教材中客户细分的目的是支持更广泛的交易监控有效性——识别偏离预期行为的客户</w:t>
      </w:r>
      <w:r>
        <w:rPr>
          <w:sz w:val="15"/>
          <w:vertAlign w:val="superscript"/>
        </w:rPr>
        <w:t>P436</w:t>
      </w:r>
      <w:r>
        <w:t>，覆盖洗钱、恐怖融资等多种金融犯罪风险，不限于制裁风险。相比之下，题干问的是交易监控有效性的一般原因，B的同群比较逻辑覆盖范围更完整、更直接匹配教材论述。</w:t>
      </w:r>
    </w:p>
    <w:p>
      <w:pPr>
        <w:spacing w:before="120" w:after="40"/>
      </w:pPr>
      <w:r>
        <w:rPr>
          <w:b/>
          <w:sz w:val="21"/>
          <w:shd w:fill="D6E4F0" w:val="clear"/>
        </w:rPr>
        <w:t>易错提醒：</w:t>
      </w:r>
    </w:p>
    <w:p>
      <w:pPr>
        <w:spacing w:line="360" w:lineRule="auto" w:after="40"/>
        <w:ind w:firstLine="420"/>
      </w:pPr>
      <w:r>
        <w:t>容易混淆的是“细分（segmentation）”与“归并（grouping）”的方向差异。细分是将客户按属性拆分成同质的较小群体</w:t>
      </w:r>
      <w:r>
        <w:rPr>
          <w:sz w:val="15"/>
          <w:vertAlign w:val="superscript"/>
        </w:rPr>
        <w:t>P436</w:t>
      </w:r>
      <w:r>
        <w:t>，而非把不同客户合并成一个大组。教材以负面案例说明：仅按行业代码把所有人塞进同一组会导致监控不充分</w:t>
      </w:r>
      <w:r>
        <w:rPr>
          <w:sz w:val="15"/>
          <w:vertAlign w:val="superscript"/>
        </w:rPr>
        <w:t>P463</w:t>
      </w:r>
      <w:r>
        <w:t>，因为这忽略了营业额、规模等关键维度。记一个判断口诀：细分是做“拆”，不是做“合”。</w:t>
      </w:r>
    </w:p>
    <w:p>
      <w:pPr>
        <w:spacing w:line="360" w:lineRule="auto" w:after="120"/>
      </w:pPr>
      <w:r/>
    </w:p>
    <w:p>
      <w:pPr>
        <w:spacing w:line="360" w:lineRule="auto" w:after="40"/>
      </w:pPr>
      <w:r>
        <w:t>2. 一名合规分析师最近调查了一个账户,该账户有低于报告限额的多笔存款,且几乎全部在外国被取走.合规分析师可能在识别哪种类型的洗钱活动？</w:t>
      </w:r>
      <w:r>
        <w:br/>
      </w:r>
      <w:r>
        <w:t>A compliance analyst has recently investigated an account where money was deposited in amounts below the reporting limit and almost entirely withdrawn in a foreign country. Which type of money laundering is the compliance analyst potentially identifying?</w:t>
      </w:r>
    </w:p>
    <w:p>
      <w:pPr>
        <w:spacing w:line="360" w:lineRule="auto" w:after="20"/>
      </w:pPr>
      <w:r>
        <w:t>A.以贸易为基础的</w:t>
      </w:r>
      <w:r>
        <w:br/>
      </w:r>
      <w:r>
        <w:t>Trade-based</w:t>
      </w:r>
    </w:p>
    <w:p>
      <w:pPr>
        <w:spacing w:line="360" w:lineRule="auto" w:after="20"/>
      </w:pPr>
      <w:r>
        <w:t>B.支票轧差欺诈（空头支票循环套现）</w:t>
      </w:r>
      <w:r>
        <w:br/>
      </w:r>
      <w:r>
        <w:t>Check kiting</w:t>
      </w:r>
    </w:p>
    <w:p>
      <w:pPr>
        <w:spacing w:line="360" w:lineRule="auto" w:after="20"/>
      </w:pPr>
      <w:r>
        <w:t>C.微结构化</w:t>
      </w:r>
      <w:r>
        <w:br/>
      </w:r>
      <w:r>
        <w:t>Microstructuring</w:t>
      </w:r>
    </w:p>
    <w:p>
      <w:pPr>
        <w:spacing w:line="360" w:lineRule="auto" w:after="20"/>
      </w:pPr>
      <w:r>
        <w:t>D.结构化</w:t>
      </w:r>
      <w:r>
        <w:br/>
      </w:r>
      <w:r>
        <w:t>Structuring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识别结构化交易：拆分存款以规避报告门槛</w:t>
      </w:r>
    </w:p>
    <w:p>
      <w:pPr>
        <w:spacing w:before="120" w:after="40"/>
      </w:pPr>
      <w:r>
        <w:rPr>
          <w:b/>
          <w:sz w:val="21"/>
          <w:shd w:fill="D6E4F0" w:val="clear"/>
        </w:rPr>
        <w:t>核心解析：</w:t>
      </w:r>
    </w:p>
    <w:p>
      <w:pPr>
        <w:spacing w:line="360" w:lineRule="auto" w:after="40"/>
        <w:ind w:firstLine="420"/>
      </w:pPr>
      <w:r>
        <w:t>结构化（structuring）指将大额资金拆分为</w:t>
      </w:r>
      <w:r>
        <w:rPr>
          <w:b/>
        </w:rPr>
        <w:t>多笔略低于报告门槛的交易</w:t>
      </w:r>
      <w:r>
        <w:t>，以规避触发监测或报告控制</w:t>
      </w:r>
      <w:r>
        <w:rPr>
          <w:sz w:val="15"/>
          <w:vertAlign w:val="superscript"/>
        </w:rPr>
        <w:t>P436</w:t>
      </w:r>
      <w:r>
        <w:t>。题干明确给出“低于报告限额的多笔存款”，与这一结构化定义直接对应；资金随后几乎全部在外国被取走，进一步表明这些存款并非孤立交易。四个选项中，D对题干已给出的门槛规避特征匹配最直接。</w:t>
      </w:r>
    </w:p>
    <w:p>
      <w:pPr>
        <w:spacing w:before="120" w:after="40"/>
      </w:pPr>
      <w:r>
        <w:rPr>
          <w:b/>
          <w:sz w:val="21"/>
          <w:shd w:fill="D6E4F0" w:val="clear"/>
        </w:rPr>
        <w:t>教材原句：</w:t>
      </w:r>
    </w:p>
    <w:p>
      <w:pPr>
        <w:spacing w:line="360" w:lineRule="auto" w:after="40"/>
        <w:ind w:firstLine="420"/>
      </w:pPr>
      <w:r>
        <w:t>"criminals can evade triggering these controls by breaking down large transactions into multiple smaller ones, each of which is just below the reporting threshold, a practice known as structuring."</w:t>
      </w:r>
    </w:p>
    <w:p>
      <w:pPr>
        <w:spacing w:before="120" w:after="40"/>
      </w:pPr>
      <w:r>
        <w:rPr>
          <w:b/>
          <w:sz w:val="21"/>
          <w:shd w:fill="D6E4F0" w:val="clear"/>
        </w:rPr>
        <w:t>A项错误：</w:t>
      </w:r>
    </w:p>
    <w:p>
      <w:pPr>
        <w:spacing w:line="360" w:lineRule="auto" w:after="40"/>
        <w:ind w:firstLine="420"/>
      </w:pPr>
      <w:r>
        <w:t>以贸易为基础的洗钱需要利用进出口贸易，如虚假发票、虚构商品交易等</w:t>
      </w:r>
      <w:r>
        <w:rPr>
          <w:sz w:val="15"/>
          <w:vertAlign w:val="superscript"/>
        </w:rPr>
        <w:t>P131</w:t>
      </w:r>
      <w:r>
        <w:t>。题干仅涉及账户存取款行为，未出现任何贸易要素，因此贸易洗钱与题干场景匹配度远低于结构化。</w:t>
      </w:r>
    </w:p>
    <w:p>
      <w:pPr>
        <w:spacing w:before="120" w:after="40"/>
      </w:pPr>
      <w:r>
        <w:rPr>
          <w:b/>
          <w:sz w:val="21"/>
          <w:shd w:fill="D6E4F0" w:val="clear"/>
        </w:rPr>
        <w:t>B项错误：</w:t>
      </w:r>
    </w:p>
    <w:p>
      <w:pPr>
        <w:spacing w:line="360" w:lineRule="auto" w:after="40"/>
        <w:ind w:firstLine="420"/>
      </w:pPr>
      <w:r>
        <w:t>题干只描述低于报告限额的多笔存款及境外取款，没有出现支票或支票清算要素；相比之下，这些存款直接命中教材对structuring的定义</w:t>
      </w:r>
      <w:r>
        <w:rPr>
          <w:sz w:val="15"/>
          <w:vertAlign w:val="superscript"/>
        </w:rPr>
        <w:t>P436</w:t>
      </w:r>
      <w:r>
        <w:t>，因此D比B有明确的教材依据。</w:t>
      </w:r>
    </w:p>
    <w:p>
      <w:pPr>
        <w:spacing w:before="120" w:after="40"/>
      </w:pPr>
      <w:r>
        <w:rPr>
          <w:b/>
          <w:sz w:val="21"/>
          <w:shd w:fill="D6E4F0" w:val="clear"/>
        </w:rPr>
        <w:t>C项错误：</w:t>
      </w:r>
    </w:p>
    <w:p>
      <w:pPr>
        <w:spacing w:line="360" w:lineRule="auto" w:after="40"/>
        <w:ind w:firstLine="420"/>
      </w:pPr>
      <w:r>
        <w:t>微结构化与传统结构化相似，教材仅进一步说明其通常用于数字资产洗钱</w:t>
      </w:r>
      <w:r>
        <w:rPr>
          <w:sz w:val="15"/>
          <w:vertAlign w:val="superscript"/>
        </w:rPr>
        <w:t>P17</w:t>
      </w:r>
      <w:r>
        <w:t>；Tamayo案例中的低于1,000美元、分散多个账户是一个具体案例表现</w:t>
      </w:r>
      <w:r>
        <w:rPr>
          <w:sz w:val="15"/>
          <w:vertAlign w:val="superscript"/>
        </w:rPr>
        <w:t>P19</w:t>
      </w:r>
      <w:r>
        <w:t>，不能当作微结构化的必要定义条件。本题没有给出数字资产或更细碎金额等微结构化线索，而“低于报告限额的多笔存款”直接复现了教材对structuring的定义</w:t>
      </w:r>
      <w:r>
        <w:rPr>
          <w:sz w:val="15"/>
          <w:vertAlign w:val="superscript"/>
        </w:rPr>
        <w:t>P436</w:t>
      </w:r>
      <w:r>
        <w:t>，因此D比C更有直接依据。</w:t>
      </w:r>
    </w:p>
    <w:p>
      <w:pPr>
        <w:spacing w:before="120" w:after="40"/>
      </w:pPr>
      <w:r>
        <w:rPr>
          <w:b/>
          <w:sz w:val="21"/>
          <w:shd w:fill="D6E4F0" w:val="clear"/>
        </w:rPr>
        <w:t>易错提醒：</w:t>
      </w:r>
    </w:p>
    <w:p>
      <w:pPr>
        <w:spacing w:line="360" w:lineRule="auto" w:after="40"/>
        <w:ind w:firstLine="420"/>
      </w:pPr>
      <w:r>
        <w:t>结构化与微结构化都涉及拆分交易</w:t>
      </w:r>
      <w:r>
        <w:rPr>
          <w:sz w:val="15"/>
          <w:vertAlign w:val="superscript"/>
        </w:rPr>
        <w:t>P17、P436</w:t>
      </w:r>
      <w:r>
        <w:t>。判断时先看题干是否直接命中“略低于报告门槛”的structuring定义</w:t>
      </w:r>
      <w:r>
        <w:rPr>
          <w:sz w:val="15"/>
          <w:vertAlign w:val="superscript"/>
        </w:rPr>
        <w:t>P436</w:t>
      </w:r>
      <w:r>
        <w:t>；若另有数字资产或更细碎增量等线索，再考虑microstructuring。教材案例中的多账户安排只是案例事实，不能作为微结构化的必备条件</w:t>
      </w:r>
      <w:r>
        <w:rPr>
          <w:sz w:val="15"/>
          <w:vertAlign w:val="superscript"/>
        </w:rPr>
        <w:t>P19</w:t>
      </w:r>
      <w:r>
        <w:t>。</w:t>
      </w:r>
    </w:p>
    <w:p>
      <w:pPr>
        <w:spacing w:line="360" w:lineRule="auto" w:after="120"/>
      </w:pPr>
      <w:r/>
    </w:p>
    <w:p>
      <w:pPr>
        <w:spacing w:line="360" w:lineRule="auto" w:after="40"/>
      </w:pPr>
      <w:r>
        <w:t>3. 在基于规则的交易监控方法中,用于检测可疑活动的最常见技术有哪些？（选择两项。）</w:t>
      </w:r>
      <w:r>
        <w:br/>
      </w:r>
      <w:r>
        <w:t>Which techniques are most commonly used in a rules-based approach to transaction monitoring for detecting suspicious activities? (Choose two.)</w:t>
      </w:r>
    </w:p>
    <w:p>
      <w:pPr>
        <w:spacing w:line="360" w:lineRule="auto" w:after="20"/>
      </w:pPr>
      <w:r>
        <w:t>A.利用预设规则标记特定的交易模式</w:t>
      </w:r>
      <w:r>
        <w:br/>
      </w:r>
      <w:r>
        <w:t>Using predefined rules to flag specific transaction patterns</w:t>
      </w:r>
    </w:p>
    <w:p>
      <w:pPr>
        <w:spacing w:line="360" w:lineRule="auto" w:after="20"/>
      </w:pPr>
      <w:r>
        <w:t>B.随机标记交易以作进一步调查</w:t>
      </w:r>
      <w:r>
        <w:br/>
      </w:r>
      <w:r>
        <w:t>Randomly flagging transactions for further investigation</w:t>
      </w:r>
    </w:p>
    <w:p>
      <w:pPr>
        <w:spacing w:line="360" w:lineRule="auto" w:after="20"/>
      </w:pPr>
      <w:r>
        <w:t>C.通过统计方法调整监测场景以提高准确性</w:t>
      </w:r>
      <w:r>
        <w:br/>
      </w:r>
      <w:r>
        <w:t>Statistical tuning of monitoring scenarios to improve accuracy</w:t>
      </w:r>
    </w:p>
    <w:p>
      <w:pPr>
        <w:spacing w:line="360" w:lineRule="auto" w:after="20"/>
      </w:pPr>
      <w:r>
        <w:t>D.利用先进的机器学习模型检测异常值</w:t>
      </w:r>
      <w:r>
        <w:br/>
      </w:r>
      <w:r>
        <w:t>Using advanced machine learning models to detect outliers</w:t>
      </w:r>
    </w:p>
    <w:p>
      <w:pPr>
        <w:spacing w:line="360" w:lineRule="auto" w:after="20"/>
      </w:pPr>
      <w:r>
        <w:t>E.设置用于自动警报的交易阀值</w:t>
      </w:r>
      <w:r>
        <w:br/>
      </w:r>
      <w:r>
        <w:t>Setting transaction thresholds for automated alerts</w:t>
      </w:r>
    </w:p>
    <w:p>
      <w:pPr>
        <w:spacing w:line="360" w:lineRule="auto" w:after="40"/>
      </w:pPr>
      <w:r>
        <w:t>答案:A、E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区分规则监控的技术手段与调优、AI等其他概念</w:t>
      </w:r>
    </w:p>
    <w:p>
      <w:pPr>
        <w:spacing w:before="120" w:after="40"/>
      </w:pPr>
      <w:r>
        <w:rPr>
          <w:b/>
          <w:sz w:val="21"/>
          <w:shd w:fill="D6E4F0" w:val="clear"/>
        </w:rPr>
        <w:t>核心解析：</w:t>
      </w:r>
    </w:p>
    <w:p>
      <w:pPr>
        <w:spacing w:line="360" w:lineRule="auto" w:after="40"/>
        <w:ind w:firstLine="420"/>
      </w:pPr>
      <w:r>
        <w:t>基于规则的交易监控是监控客户交易的基本方法</w:t>
      </w:r>
      <w:r>
        <w:rPr>
          <w:sz w:val="15"/>
          <w:vertAlign w:val="superscript"/>
        </w:rPr>
        <w:t>P436</w:t>
      </w:r>
      <w:r>
        <w:t>。金融机构根据已知风险因素或监管要求创建</w:t>
      </w:r>
      <w:r>
        <w:rPr>
          <w:b/>
        </w:rPr>
        <w:t>预定义规则</w:t>
      </w:r>
      <w:r>
        <w:t>，设定</w:t>
      </w:r>
      <w:r>
        <w:rPr>
          <w:b/>
        </w:rPr>
        <w:t>静态、可预测的阈值</w:t>
      </w:r>
      <w:r>
        <w:rPr>
          <w:sz w:val="15"/>
          <w:vertAlign w:val="superscript"/>
        </w:rPr>
        <w:t>P436</w:t>
      </w:r>
      <w:r>
        <w:t>。其核心检测机制包含两类技术：一是利用</w:t>
      </w:r>
      <w:r>
        <w:rPr>
          <w:b/>
        </w:rPr>
        <w:t>预设规则对特定交易模式进行标记</w:t>
      </w:r>
      <w:r>
        <w:t>——当交易命中某个已知风险特征（如特定金额区间、特定司法管辖区）时即触发标记；二是</w:t>
      </w:r>
      <w:r>
        <w:rPr>
          <w:b/>
        </w:rPr>
        <w:t>设置交易阈值以驱动自动警报</w:t>
      </w:r>
      <w:r>
        <w:t>——阈值定义了触发警报所需的最低活动水平，超限交易自动产生警报</w:t>
      </w:r>
      <w:r>
        <w:rPr>
          <w:sz w:val="15"/>
          <w:vertAlign w:val="superscript"/>
        </w:rPr>
        <w:t>P331</w:t>
      </w:r>
      <w:r>
        <w:t>。题干问的是“在基于规则的方法中”用于检测可疑活动的技术，A和E正是该方法的两个基本构件，二者共同构成了规则监控的运作骨架。</w:t>
      </w:r>
    </w:p>
    <w:p>
      <w:pPr>
        <w:spacing w:before="120" w:after="40"/>
      </w:pPr>
      <w:r>
        <w:rPr>
          <w:b/>
          <w:sz w:val="21"/>
          <w:shd w:fill="D6E4F0" w:val="clear"/>
        </w:rPr>
        <w:t>教材原句：</w:t>
      </w:r>
    </w:p>
    <w:p>
      <w:pPr>
        <w:spacing w:line="360" w:lineRule="auto" w:after="40"/>
        <w:ind w:firstLine="420"/>
      </w:pPr>
      <w:r>
        <w:t>"Financial institutions create rules based on known risk factors or regulatory requirements. They set predefined rules or thresholds, which are static, predictable, and easy to implement and understand."</w:t>
      </w:r>
      <w:r>
        <w:rPr>
          <w:sz w:val="15"/>
          <w:vertAlign w:val="superscript"/>
        </w:rPr>
        <w:t>P436</w:t>
      </w:r>
    </w:p>
    <w:p>
      <w:pPr>
        <w:spacing w:before="120" w:after="40"/>
      </w:pPr>
      <w:r>
        <w:rPr>
          <w:b/>
          <w:sz w:val="21"/>
          <w:shd w:fill="D6E4F0" w:val="clear"/>
        </w:rPr>
        <w:t>B项错误：</w:t>
      </w:r>
    </w:p>
    <w:p>
      <w:pPr>
        <w:spacing w:line="360" w:lineRule="auto" w:after="40"/>
        <w:ind w:firstLine="420"/>
      </w:pPr>
      <w:r>
        <w:t>基于规则的监控本质上是“命中即触发”的确定性机制，而非随机抽样。教材中没有任何单元将随机标记列为规则监控的技术手段；规则系统依赖于预设条件的有序匹配，随机标记不属于这一框架下的检测逻辑。</w:t>
      </w:r>
    </w:p>
    <w:p>
      <w:pPr>
        <w:spacing w:before="120" w:after="40"/>
      </w:pPr>
      <w:r>
        <w:rPr>
          <w:b/>
          <w:sz w:val="21"/>
          <w:shd w:fill="D6E4F0" w:val="clear"/>
        </w:rPr>
        <w:t>C项错误：</w:t>
      </w:r>
    </w:p>
    <w:p>
      <w:pPr>
        <w:spacing w:line="360" w:lineRule="auto" w:after="40"/>
        <w:ind w:firstLine="420"/>
      </w:pPr>
      <w:r>
        <w:t>阈值校准（calibration/tuning）是基于统计数据调整已有规则的参数以提高效率，属于部署后的优化与维护环节（P445-P446），而非检测可疑活动的初始技术手段本身。题干更直接匹配“创建规则和设定阈值”这一核心检测机制，而非“调优已有规则”。</w:t>
      </w:r>
    </w:p>
    <w:p>
      <w:pPr>
        <w:spacing w:before="120" w:after="40"/>
      </w:pPr>
      <w:r>
        <w:rPr>
          <w:b/>
          <w:sz w:val="21"/>
          <w:shd w:fill="D6E4F0" w:val="clear"/>
        </w:rPr>
        <w:t>D项错误：</w:t>
      </w:r>
    </w:p>
    <w:p>
      <w:pPr>
        <w:spacing w:line="360" w:lineRule="auto" w:after="40"/>
        <w:ind w:firstLine="420"/>
      </w:pPr>
      <w:r>
        <w:t>教材指出传统上使用基于规则的系统，但组织正逐步采用基于AI的控制来改进可疑活动检测</w:t>
      </w:r>
      <w:r>
        <w:rPr>
          <w:sz w:val="15"/>
          <w:vertAlign w:val="superscript"/>
        </w:rPr>
        <w:t>P328</w:t>
      </w:r>
      <w:r>
        <w:t>。机器学习属于AI-based controls，与rules-based approach属于不同代际的监控范式。题干明确限定在“基于规则的方法中”，D所描述的技术超出了该范畴。</w:t>
      </w:r>
    </w:p>
    <w:p>
      <w:pPr>
        <w:spacing w:before="120" w:after="40"/>
      </w:pPr>
      <w:r>
        <w:rPr>
          <w:b/>
          <w:sz w:val="21"/>
          <w:shd w:fill="D6E4F0" w:val="clear"/>
        </w:rPr>
        <w:t>易错提醒：</w:t>
      </w:r>
    </w:p>
    <w:p>
      <w:pPr>
        <w:spacing w:line="360" w:lineRule="auto" w:after="40"/>
        <w:ind w:firstLine="420"/>
      </w:pPr>
      <w:r>
        <w:t>注意调优（tuning）和规则监控本身的区别：调优涉及场景设置、客户细分、阈值设置和频率四个组成部分，是对已有规则的事后优化（P445-P446），不替代“预设规则”和“阈值警报”本身作为检测手段的地位</w:t>
      </w:r>
      <w:r>
        <w:rPr>
          <w:sz w:val="15"/>
          <w:vertAlign w:val="superscript"/>
        </w:rPr>
        <w:t>P436</w:t>
      </w:r>
      <w:r>
        <w:t>。</w:t>
      </w:r>
    </w:p>
    <w:p>
      <w:pPr>
        <w:spacing w:line="360" w:lineRule="auto" w:after="120"/>
      </w:pPr>
      <w:r/>
    </w:p>
    <w:p>
      <w:pPr>
        <w:spacing w:line="360" w:lineRule="auto" w:after="40"/>
      </w:pPr>
      <w:r>
        <w:t>4. 以下哪些属于客户的可疑交易？（选择三项。）</w:t>
      </w:r>
      <w:r>
        <w:br/>
      </w:r>
      <w:r>
        <w:t>Which of the following are suspicious transactions by a customer? (Select Three.)</w:t>
      </w:r>
    </w:p>
    <w:p>
      <w:pPr>
        <w:spacing w:line="360" w:lineRule="auto" w:after="20"/>
      </w:pPr>
      <w:r>
        <w:t>A.一位客户存入了大量连续编号的汇票.</w:t>
      </w:r>
      <w:r>
        <w:br/>
      </w:r>
      <w:r>
        <w:t>A customer deposits a large number of consecutively numbered money orders.</w:t>
      </w:r>
    </w:p>
    <w:p>
      <w:pPr>
        <w:spacing w:line="360" w:lineRule="auto" w:after="20"/>
      </w:pPr>
      <w:r>
        <w:t>B.一位客户要求提供向当地公司发放的贷款或由当地银行的债务作担保的贷款.</w:t>
      </w:r>
      <w:r>
        <w:br/>
      </w:r>
      <w:r>
        <w:t>A customer requests loans made to local companies or secured by obligations of local banks.</w:t>
      </w:r>
    </w:p>
    <w:p>
      <w:pPr>
        <w:spacing w:line="360" w:lineRule="auto" w:after="20"/>
      </w:pPr>
      <w:r>
        <w:t>C.一位客户主要通过电汇进行定期的存款和取款.</w:t>
      </w:r>
      <w:r>
        <w:br/>
      </w:r>
      <w:r>
        <w:t>A customer has regular deposits and withdrawals primarily in wire transfers.</w:t>
      </w:r>
    </w:p>
    <w:p>
      <w:pPr>
        <w:spacing w:line="360" w:lineRule="auto" w:after="20"/>
      </w:pPr>
      <w:r>
        <w:t>D.一名客户收到来自不同未知账户的电汇款项,这些款项随即又被电汇给第三方.</w:t>
      </w:r>
      <w:r>
        <w:br/>
      </w:r>
      <w:r>
        <w:t>A customer receives wire transfers from different unknown accounts which are immediately wired onwards to a third party.</w:t>
      </w:r>
    </w:p>
    <w:p>
      <w:pPr>
        <w:spacing w:line="360" w:lineRule="auto" w:after="20"/>
      </w:pPr>
      <w:r>
        <w:t>E.一位客户每次取款金额都略低于报告限额.</w:t>
      </w:r>
      <w:r>
        <w:br/>
      </w:r>
      <w:r>
        <w:t>A customer makes withdrawals each time just below the reporting threshold.</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识别异常金融票据、快速过账与结构化交易模式</w:t>
      </w:r>
    </w:p>
    <w:p>
      <w:pPr>
        <w:spacing w:before="120" w:after="40"/>
      </w:pPr>
      <w:r>
        <w:rPr>
          <w:b/>
          <w:sz w:val="21"/>
          <w:shd w:fill="D6E4F0" w:val="clear"/>
        </w:rPr>
        <w:t>核心解析：</w:t>
      </w:r>
    </w:p>
    <w:p>
      <w:pPr>
        <w:spacing w:line="360" w:lineRule="auto" w:after="40"/>
        <w:ind w:firstLine="420"/>
      </w:pPr>
      <w:r>
        <w:t>危险信号是需要进一步调查的异常模式，并不等于已经证明客户实施洗钱。大额交易或频繁转账可能触发进一步调查</w:t>
      </w:r>
      <w:r>
        <w:rPr>
          <w:sz w:val="15"/>
          <w:vertAlign w:val="superscript"/>
        </w:rPr>
        <w:t>P329</w:t>
      </w:r>
      <w:r>
        <w:t>；A中大量且连续编号的汇票显示这些票据可能来自同一批次或关联来源，属于需要核实购买人、资金来源和经济目的的异常金融工具组合，但题干并未证明其目的是规避现金记录要求。D同时具备</w:t>
      </w:r>
      <w:r>
        <w:rPr>
          <w:b/>
        </w:rPr>
        <w:t>多个未知来源、收款后立即转出和转给第三方</w:t>
      </w:r>
      <w:r>
        <w:t>三个特征；来源不明或可疑资金属于红旗信号，无法解释的资金转移可能表明金融犯罪</w:t>
      </w:r>
      <w:r>
        <w:rPr>
          <w:sz w:val="15"/>
          <w:vertAlign w:val="superscript"/>
        </w:rPr>
        <w:t>P128、P443</w:t>
      </w:r>
      <w:r>
        <w:t>，该账户因此呈现快速过账或资金中转特征。E每次取款均略低于报告限额，直接符合将交易拆分并控制在报告门槛以下的结构化交易（structuring）特征</w:t>
      </w:r>
      <w:r>
        <w:rPr>
          <w:sz w:val="15"/>
          <w:vertAlign w:val="superscript"/>
        </w:rPr>
        <w:t>P436</w:t>
      </w:r>
      <w:r>
        <w:t>。故应选择A、D、E。</w:t>
      </w:r>
    </w:p>
    <w:p>
      <w:pPr>
        <w:spacing w:before="120" w:after="40"/>
      </w:pPr>
      <w:r>
        <w:rPr>
          <w:b/>
          <w:sz w:val="21"/>
          <w:shd w:fill="D6E4F0" w:val="clear"/>
        </w:rPr>
        <w:t>教材原句：</w:t>
      </w:r>
    </w:p>
    <w:p>
      <w:pPr>
        <w:spacing w:line="360" w:lineRule="auto" w:after="40"/>
        <w:ind w:firstLine="420"/>
      </w:pPr>
      <w:r>
        <w:t>"But criminals can evade triggering these controls by breaking down large transactions into multiple smaller ones, each of which is just below the reporting threshold, a practice known as structuring."</w:t>
      </w:r>
      <w:r>
        <w:rPr>
          <w:sz w:val="15"/>
          <w:vertAlign w:val="superscript"/>
        </w:rPr>
        <w:t>P436</w:t>
      </w:r>
    </w:p>
    <w:p>
      <w:pPr>
        <w:spacing w:before="120" w:after="40"/>
      </w:pPr>
      <w:r>
        <w:rPr>
          <w:b/>
          <w:sz w:val="21"/>
          <w:shd w:fill="D6E4F0" w:val="clear"/>
        </w:rPr>
        <w:t>B项错误：</w:t>
      </w:r>
    </w:p>
    <w:p>
      <w:pPr>
        <w:spacing w:line="360" w:lineRule="auto" w:after="40"/>
        <w:ind w:firstLine="420"/>
      </w:pPr>
      <w:r>
        <w:t>有担保和无担保贷款属于正常贷款产品，并可用于企业扩张、投资和现金流管理</w:t>
      </w:r>
      <w:r>
        <w:rPr>
          <w:sz w:val="15"/>
          <w:vertAlign w:val="superscript"/>
        </w:rPr>
        <w:t>P67</w:t>
      </w:r>
      <w:r>
        <w:t>。B没有出现虚假担保、无关联第三方、异常提前还款或缺乏经济目的等条件，不如A、D、E直接体现可疑交易模式。</w:t>
      </w:r>
    </w:p>
    <w:p>
      <w:pPr>
        <w:spacing w:before="120" w:after="40"/>
      </w:pPr>
      <w:r>
        <w:rPr>
          <w:b/>
          <w:sz w:val="21"/>
          <w:shd w:fill="D6E4F0" w:val="clear"/>
        </w:rPr>
        <w:t>C项错误：</w:t>
      </w:r>
    </w:p>
    <w:p>
      <w:pPr>
        <w:spacing w:line="360" w:lineRule="auto" w:after="40"/>
        <w:ind w:firstLine="420"/>
      </w:pPr>
      <w:r>
        <w:t>电汇是正常的国内或跨境电子转账方式</w:t>
      </w:r>
      <w:r>
        <w:rPr>
          <w:sz w:val="15"/>
          <w:vertAlign w:val="superscript"/>
        </w:rPr>
        <w:t>P78</w:t>
      </w:r>
      <w:r>
        <w:t>。C只说明客户定期使用电汇，没有未知交易对手、快速过账、高风险地区或与客户画像不符等异常背景，不能仅因交易渠道是电汇就认定可疑。</w:t>
      </w:r>
    </w:p>
    <w:p>
      <w:pPr>
        <w:spacing w:before="120" w:after="40"/>
      </w:pPr>
      <w:r>
        <w:rPr>
          <w:b/>
          <w:sz w:val="21"/>
          <w:shd w:fill="D6E4F0" w:val="clear"/>
        </w:rPr>
        <w:t>易错提醒：</w:t>
      </w:r>
    </w:p>
    <w:p>
      <w:pPr>
        <w:spacing w:line="360" w:lineRule="auto" w:after="40"/>
        <w:ind w:firstLine="420"/>
      </w:pPr>
      <w:r>
        <w:t>危险信号是调查起点，不是犯罪结论。解析只能依据题干已有事实描述异常模式；题干未说明现金购买、拆分金额或规避意图时，不能自行补充这些动机</w:t>
      </w:r>
      <w:r>
        <w:rPr>
          <w:sz w:val="15"/>
          <w:vertAlign w:val="superscript"/>
        </w:rPr>
        <w:t>P436</w:t>
      </w:r>
      <w:r>
        <w:t>。</w:t>
      </w:r>
    </w:p>
    <w:p>
      <w:pPr>
        <w:spacing w:line="360" w:lineRule="auto" w:after="120"/>
      </w:pPr>
      <w:r/>
    </w:p>
    <w:p>
      <w:pPr>
        <w:spacing w:line="360" w:lineRule="auto" w:after="40"/>
      </w:pPr>
      <w:r>
        <w:t>5. 以下哪些情形表现出可疑交易的典型迹象？（选择两项。）</w:t>
      </w:r>
      <w:r>
        <w:br/>
      </w:r>
      <w:r>
        <w:t>Which of the following scenarios exhibit classic indicators of suspicious transactions? (Select two.)</w:t>
      </w:r>
    </w:p>
    <w:p>
      <w:pPr>
        <w:spacing w:line="360" w:lineRule="auto" w:after="20"/>
      </w:pPr>
      <w:r>
        <w:t>A.一位企业主将其房产抵押给了一家最近因反洗钱违规行为而被罚款的金融机构.</w:t>
      </w:r>
      <w:r>
        <w:br/>
      </w:r>
      <w:r>
        <w:t>A business owner mortgages his home with a financial institution that was recently fined for AML violations.</w:t>
      </w:r>
    </w:p>
    <w:p>
      <w:pPr>
        <w:spacing w:line="360" w:lineRule="auto" w:after="20"/>
      </w:pPr>
      <w:r>
        <w:t>B.一位客户定期使用其配偶的银行账户投资股票型基金（她是该账户的第二账户持有人）.</w:t>
      </w:r>
      <w:r>
        <w:br/>
      </w:r>
      <w:r>
        <w:t>A customer regularly invests in equity funds using her spouse's bank account, where she is a second account holder.</w:t>
      </w:r>
    </w:p>
    <w:p>
      <w:pPr>
        <w:spacing w:line="360" w:lineRule="auto" w:after="20"/>
      </w:pPr>
      <w:r>
        <w:t>C.某政府官员的秘书经常进入银行的保险库取款.</w:t>
      </w:r>
      <w:r>
        <w:br/>
      </w:r>
      <w:r>
        <w:t>An individual who is the secretary to a government official frequently accesses the bank's safe deposit vault to withdraw cash.</w:t>
      </w:r>
    </w:p>
    <w:p>
      <w:pPr>
        <w:spacing w:line="360" w:lineRule="auto" w:after="20"/>
      </w:pPr>
      <w:r>
        <w:t>D.个人经常进口用于民用的精密电子设备,并缴纳所有应缴的关税.</w:t>
      </w:r>
      <w:r>
        <w:br/>
      </w:r>
      <w:r>
        <w:t>An individual regularly imports sophisticated electronic items for civil use and pays all applicable customs duties.</w:t>
      </w:r>
    </w:p>
    <w:p>
      <w:pPr>
        <w:spacing w:line="360" w:lineRule="auto" w:after="20"/>
      </w:pPr>
      <w:r>
        <w:t>E.有个人想向一个身处金融行动特别工作组(FATF)灰名单国家的人进行电汇,但以经济困难为由,请求一位密切的朋友代为处理</w:t>
      </w:r>
      <w:r>
        <w:br/>
      </w:r>
      <w:r>
        <w:t>An individual wants to execute wire transfers to a person in a FATF grey-listed jurisdiction and asks a close friend to send the money on his behalf, citing financial difficulties.</w:t>
      </w:r>
    </w:p>
    <w:p>
      <w:pPr>
        <w:spacing w:line="360" w:lineRule="auto" w:after="40"/>
      </w:pPr>
      <w:r>
        <w:t>答案:C、E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识别异常现金行为以及借用第三方向高风险辖区汇款的红旗信号</w:t>
      </w:r>
    </w:p>
    <w:p>
      <w:pPr>
        <w:spacing w:before="120" w:after="40"/>
      </w:pPr>
      <w:r>
        <w:rPr>
          <w:b/>
          <w:sz w:val="21"/>
          <w:shd w:fill="D6E4F0" w:val="clear"/>
        </w:rPr>
        <w:t>核心解析：</w:t>
      </w:r>
    </w:p>
    <w:p>
      <w:pPr>
        <w:spacing w:line="360" w:lineRule="auto" w:after="40"/>
        <w:ind w:firstLine="420"/>
      </w:pPr>
      <w:r>
        <w:t>选项C包含两个应结合审查的事实：当事人与政府官员存在工作关系，且频繁通过银行保险库提取现金。教材指出，政府职员若突然出现</w:t>
      </w:r>
      <w:r>
        <w:rPr>
          <w:b/>
        </w:rPr>
        <w:t>频繁现金活动</w:t>
      </w:r>
      <w:r>
        <w:t>可能触发红旗信号</w:t>
      </w:r>
      <w:r>
        <w:rPr>
          <w:sz w:val="15"/>
          <w:vertAlign w:val="superscript"/>
        </w:rPr>
        <w:t>P436</w:t>
      </w:r>
      <w:r>
        <w:t>；政治敏感人物及其相关关系也需要加强风险识别。这里不能仅凭“秘书”身份直接认定其为PEP密切关联人，但</w:t>
      </w:r>
      <w:r>
        <w:rPr>
          <w:b/>
        </w:rPr>
        <w:t>“公职关系背景+频繁现金提取”</w:t>
      </w:r>
      <w:r>
        <w:t>的组合属于典型异常模式。</w:t>
      </w:r>
    </w:p>
    <w:p>
      <w:pPr>
        <w:spacing w:line="360" w:lineRule="auto" w:after="40"/>
        <w:ind w:firstLine="420"/>
      </w:pPr>
      <w:r>
        <w:t>选项E同样由两个风险因素叠加构成：目的地属于FATF灰名单辖区，而汇款人又让朋友代其付款。教材将</w:t>
      </w:r>
      <w:r>
        <w:rPr>
          <w:b/>
        </w:rPr>
        <w:t>高风险司法管辖区</w:t>
      </w:r>
      <w:r>
        <w:t>列为电汇红旗信号，并指出</w:t>
      </w:r>
      <w:r>
        <w:rPr>
          <w:b/>
        </w:rPr>
        <w:t>第三方参与会增加复杂性、使资金来源更难追踪</w:t>
      </w:r>
      <w:r>
        <w:rPr>
          <w:sz w:val="15"/>
          <w:vertAlign w:val="superscript"/>
        </w:rPr>
        <w:t>P78、P66</w:t>
      </w:r>
      <w:r>
        <w:t>；FATF灰名单本身也指AML/CFT体系存在战略缺陷但正积极整改的司法管辖区</w:t>
      </w:r>
      <w:r>
        <w:rPr>
          <w:sz w:val="15"/>
          <w:vertAlign w:val="superscript"/>
        </w:rPr>
        <w:t>P156</w:t>
      </w:r>
      <w:r>
        <w:t>。因此C、E最符合题目所问的可疑交易典型迹象。</w:t>
      </w:r>
    </w:p>
    <w:p>
      <w:pPr>
        <w:spacing w:before="120" w:after="40"/>
      </w:pPr>
      <w:r>
        <w:rPr>
          <w:b/>
          <w:sz w:val="21"/>
          <w:shd w:fill="D6E4F0" w:val="clear"/>
        </w:rPr>
        <w:t>A项错误：</w:t>
      </w:r>
    </w:p>
    <w:p>
      <w:pPr>
        <w:spacing w:line="360" w:lineRule="auto" w:after="40"/>
        <w:ind w:firstLine="420"/>
      </w:pPr>
      <w:r>
        <w:t>金融机构因反洗钱违规被罚款，反映的是该机构自身的合规缺陷；客户选择与哪家机构交易，本身不构成该客户的可疑行为指标。题干更直接匹配的是客户自身行为模式，而非其金融服务提供方的历史。</w:t>
      </w:r>
    </w:p>
    <w:p>
      <w:pPr>
        <w:spacing w:before="120" w:after="40"/>
      </w:pPr>
      <w:r>
        <w:rPr>
          <w:b/>
          <w:sz w:val="21"/>
          <w:shd w:fill="D6E4F0" w:val="clear"/>
        </w:rPr>
        <w:t>B项错误：</w:t>
      </w:r>
    </w:p>
    <w:p>
      <w:pPr>
        <w:spacing w:line="360" w:lineRule="auto" w:after="40"/>
        <w:ind w:firstLine="420"/>
      </w:pPr>
      <w:r>
        <w:t>客户本身是配偶账户的第二账户持有人，说明其具有账户权利。题干没有给出资金来源不明、隐瞒受益所有权或异常频率等附加事实，不能仅因使用共同账户投资就认定可疑。</w:t>
      </w:r>
    </w:p>
    <w:p>
      <w:pPr>
        <w:spacing w:before="120" w:after="40"/>
      </w:pPr>
      <w:r>
        <w:rPr>
          <w:b/>
          <w:sz w:val="21"/>
          <w:shd w:fill="D6E4F0" w:val="clear"/>
        </w:rPr>
        <w:t>D项错误：</w:t>
      </w:r>
    </w:p>
    <w:p>
      <w:pPr>
        <w:spacing w:line="360" w:lineRule="auto" w:after="40"/>
        <w:ind w:firstLine="420"/>
      </w:pPr>
      <w:r>
        <w:t>履行合规进口手续并缴纳全部关税，本身不构成可疑行为。题干没有给出资金来源不明、隐瞒交易对手、规避申报或异常付款路径等附加事实</w:t>
      </w:r>
      <w:r>
        <w:rPr>
          <w:sz w:val="15"/>
          <w:vertAlign w:val="superscript"/>
        </w:rPr>
        <w:t>P66、P78</w:t>
      </w:r>
      <w:r>
        <w:t>，不能把正常进口活动认定为红旗信号。</w:t>
      </w:r>
    </w:p>
    <w:p>
      <w:pPr>
        <w:spacing w:before="120" w:after="40"/>
      </w:pPr>
      <w:r>
        <w:rPr>
          <w:b/>
          <w:sz w:val="21"/>
          <w:shd w:fill="D6E4F0" w:val="clear"/>
        </w:rPr>
        <w:t>易错提醒：</w:t>
      </w:r>
    </w:p>
    <w:p>
      <w:pPr>
        <w:spacing w:line="360" w:lineRule="auto" w:after="40"/>
        <w:ind w:firstLine="420"/>
      </w:pPr>
      <w:r>
        <w:t>不要把身份背景单独当作结论。C之所以可疑，是因为公职关系背景与频繁现金提取叠加</w:t>
      </w:r>
      <w:r>
        <w:rPr>
          <w:sz w:val="15"/>
          <w:vertAlign w:val="superscript"/>
        </w:rPr>
        <w:t>P436</w:t>
      </w:r>
      <w:r>
        <w:t>；E之所以可疑，是因为高风险辖区与第三方代付叠加</w:t>
      </w:r>
      <w:r>
        <w:rPr>
          <w:sz w:val="15"/>
          <w:vertAlign w:val="superscript"/>
        </w:rPr>
        <w:t>P66、P78、P156</w:t>
      </w:r>
      <w:r>
        <w:t>。B仅体现共同账户的正常使用权，风险强度不同。</w:t>
      </w:r>
    </w:p>
    <w:p>
      <w:pPr>
        <w:spacing w:line="360" w:lineRule="auto" w:after="120"/>
      </w:pPr>
      <w:r/>
    </w:p>
    <w:p>
      <w:pPr>
        <w:spacing w:line="360" w:lineRule="auto" w:after="40"/>
      </w:pPr>
      <w:r>
        <w:t>6. 使用人工智能(AI)与传统基于规则的交易监控相结合或替代其进行交易监控的优势包括:（选择两项。）</w:t>
      </w:r>
      <w:r>
        <w:br/>
      </w:r>
      <w:r>
        <w:t>Benefits of using artificial intelligence (AI) in conjunction with, or in place of, traditional rules-based transaction monitoring include that AI can: (Select Two.)</w:t>
      </w:r>
    </w:p>
    <w:p>
      <w:pPr>
        <w:spacing w:line="360" w:lineRule="auto" w:after="20"/>
      </w:pPr>
      <w:r>
        <w:t>A.增加误报警报的数量</w:t>
      </w:r>
      <w:r>
        <w:br/>
      </w:r>
      <w:r>
        <w:t>Increase the number of false positive alerts</w:t>
      </w:r>
    </w:p>
    <w:p>
      <w:pPr>
        <w:spacing w:line="360" w:lineRule="auto" w:after="20"/>
      </w:pPr>
      <w:r>
        <w:t>B.在机器训练阶段创建无偏场景</w:t>
      </w:r>
      <w:r>
        <w:br/>
      </w:r>
      <w:r>
        <w:t>Create unbiased scenarios during the machine training phase</w:t>
      </w:r>
    </w:p>
    <w:p>
      <w:pPr>
        <w:spacing w:line="360" w:lineRule="auto" w:after="20"/>
      </w:pPr>
      <w:r>
        <w:t>C.识别客户行为的变化,以更准确地评估风险</w:t>
      </w:r>
      <w:r>
        <w:br/>
      </w:r>
      <w:r>
        <w:t>Identify changes in customer behavior to more accurately assess risk</w:t>
      </w:r>
    </w:p>
    <w:p>
      <w:pPr>
        <w:spacing w:line="360" w:lineRule="auto" w:after="20"/>
      </w:pPr>
      <w:r>
        <w:t>D.生成客户风险评分以预测潜在的金融犯罪活动</w:t>
      </w:r>
      <w:r>
        <w:br/>
      </w:r>
      <w:r>
        <w:t>Generate customer risk scores to predict potential financial crime activity</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AI/机器学习在交易监控中相比传统规则系统的核心优势</w:t>
      </w:r>
    </w:p>
    <w:p>
      <w:pPr>
        <w:spacing w:before="120" w:after="40"/>
      </w:pPr>
      <w:r>
        <w:rPr>
          <w:b/>
          <w:sz w:val="21"/>
          <w:shd w:fill="D6E4F0" w:val="clear"/>
        </w:rPr>
        <w:t>核心解析：</w:t>
      </w:r>
    </w:p>
    <w:p>
      <w:pPr>
        <w:spacing w:line="360" w:lineRule="auto" w:after="40"/>
        <w:ind w:firstLine="420"/>
      </w:pPr>
      <w:r>
        <w:t>教材通过案例展示了</w:t>
      </w:r>
      <w:r>
        <w:rPr>
          <w:b/>
        </w:rPr>
        <w:t>交易监控技术的演进</w:t>
      </w:r>
      <w:r>
        <w:t>：从静态的IF:THEN规则系统，逐步转向采用机器学习和AI驱动的工具，这些工具能够进行</w:t>
      </w:r>
      <w:r>
        <w:rPr>
          <w:b/>
        </w:rPr>
        <w:t>客户行为和上下文分析</w:t>
      </w:r>
      <w:r>
        <w:t>，并将当前交易与历史模式、同业群体活动和外部数据集比较</w:t>
      </w:r>
      <w:r>
        <w:rPr>
          <w:sz w:val="15"/>
          <w:vertAlign w:val="superscript"/>
        </w:rPr>
        <w:t>P439</w:t>
      </w:r>
      <w:r>
        <w:t>。这意味着AI的核心优势在于</w:t>
      </w:r>
      <w:r>
        <w:rPr>
          <w:b/>
        </w:rPr>
        <w:t>动态地理解客户</w:t>
      </w:r>
      <w:r>
        <w:t>，而非机械地执行预设阈值。选项C“识别客户行为的变化，以更准确地评估风险”正是对这一动态分析能力的直接描述——系统通过对比客户历史行为画像来检测异常偏差，从而减少误报，实现更精准的风险评估。选项D“生成客户风险评分以辅助识别和评估潜在的金融犯罪风险”则对应了AI将这些行为分析、交易异常和外部风险指标综合量化的能力。教材案例中，Magnify Bank正是基于交易异常、历史行为和外部风险指标来计算客户风险评分，生成如“平均交易规模”“高风险交易数量”等属性</w:t>
      </w:r>
      <w:r>
        <w:rPr>
          <w:sz w:val="15"/>
          <w:vertAlign w:val="superscript"/>
        </w:rPr>
        <w:t>P478</w:t>
      </w:r>
      <w:r>
        <w:t>，可用于更有针对性地识别和评估异常活动。</w:t>
      </w:r>
    </w:p>
    <w:p>
      <w:pPr>
        <w:spacing w:before="120" w:after="40"/>
      </w:pPr>
      <w:r>
        <w:rPr>
          <w:b/>
          <w:sz w:val="21"/>
          <w:shd w:fill="D6E4F0" w:val="clear"/>
        </w:rPr>
        <w:t>教材原句：</w:t>
      </w:r>
    </w:p>
    <w:p>
      <w:pPr>
        <w:spacing w:line="360" w:lineRule="auto" w:after="40"/>
        <w:ind w:firstLine="420"/>
      </w:pPr>
      <w:r>
        <w:t>"The bank is moving away from static rules and is adopting tools that analyze customer behavior and context by comparing current transactions to historical patterns, peer group activities, and external datasets."</w:t>
      </w:r>
    </w:p>
    <w:p>
      <w:pPr>
        <w:spacing w:before="120" w:after="40"/>
      </w:pPr>
      <w:r>
        <w:rPr>
          <w:b/>
          <w:sz w:val="21"/>
          <w:shd w:fill="D6E4F0" w:val="clear"/>
        </w:rPr>
        <w:t>A项错误：</w:t>
      </w:r>
    </w:p>
    <w:p>
      <w:pPr>
        <w:spacing w:line="360" w:lineRule="auto" w:after="40"/>
        <w:ind w:firstLine="420"/>
      </w:pPr>
      <w:r>
        <w:t>教材明确指出，与传统规则系统产生大量误报不同，机器学习算法已显示出在“减少”交易监控中的误报方面的改进</w:t>
      </w:r>
      <w:r>
        <w:rPr>
          <w:sz w:val="15"/>
          <w:vertAlign w:val="superscript"/>
        </w:rPr>
        <w:t>P385</w:t>
      </w:r>
      <w:r>
        <w:t>。因此，题干所问的AI优势更直接地指向减少而非增加误报。</w:t>
      </w:r>
    </w:p>
    <w:p>
      <w:pPr>
        <w:spacing w:before="120" w:after="40"/>
      </w:pPr>
      <w:r>
        <w:rPr>
          <w:b/>
          <w:sz w:val="21"/>
          <w:shd w:fill="D6E4F0" w:val="clear"/>
        </w:rPr>
        <w:t>B项错误：</w:t>
      </w:r>
    </w:p>
    <w:p>
      <w:pPr>
        <w:spacing w:line="360" w:lineRule="auto" w:after="40"/>
        <w:ind w:firstLine="420"/>
      </w:pPr>
      <w:r>
        <w:t>教材在讨论AI模型训练时，强调的是数据集必须包含广泛的交易样本“以避免可能扭曲结果的统计偏差”</w:t>
      </w:r>
      <w:r>
        <w:rPr>
          <w:sz w:val="15"/>
          <w:vertAlign w:val="superscript"/>
        </w:rPr>
        <w:t>P448</w:t>
      </w:r>
      <w:r>
        <w:t>。这说明偏差是需要通过数据质量和流程设计去“避免”的已知风险，而非AI在训练阶段能自动“创建”出的产物。相比之下，教材并未声称AI可以创建无偏场景，题干所问的优势更直接地由能实际提升风险识别准确性的C和D来体现。</w:t>
      </w:r>
    </w:p>
    <w:p>
      <w:pPr>
        <w:spacing w:before="120" w:after="40"/>
      </w:pPr>
      <w:r>
        <w:rPr>
          <w:b/>
          <w:sz w:val="21"/>
          <w:shd w:fill="D6E4F0" w:val="clear"/>
        </w:rPr>
        <w:t>易错提醒：</w:t>
      </w:r>
    </w:p>
    <w:p>
      <w:pPr>
        <w:spacing w:line="360" w:lineRule="auto" w:after="40"/>
        <w:ind w:firstLine="420"/>
      </w:pPr>
      <w:r>
        <w:t>注意区分“避免偏差”与“创建无偏场景”。教材的立场是，AI系统本身会从数据中学习模式，如果输入数据存在统计偏差，模型结果就会被扭曲。因此，机构的职责是通过确保数据集广泛且高质量来“避免”偏差</w:t>
      </w:r>
      <w:r>
        <w:rPr>
          <w:sz w:val="15"/>
          <w:vertAlign w:val="superscript"/>
        </w:rPr>
        <w:t>P448</w:t>
      </w:r>
      <w:r>
        <w:t>，但这不等于AI能自动创建无偏的客观真理。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