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(中英对照)</w:t>
      </w:r>
    </w:p>
    <w:p>
      <w:pPr>
        <w:spacing w:line="360" w:lineRule="auto" w:after="160"/>
      </w:pPr>
      <w:r>
        <w:t>一、单项选择题</w:t>
      </w:r>
    </w:p>
    <w:p>
      <w:pPr>
        <w:spacing w:line="360" w:lineRule="auto" w:after="40"/>
      </w:pPr>
      <w:r>
        <w:t>1. 一家银行正在为一家总部位于纽约市的小型数字营销公司完成定期的客户尽职调查档案审查.以下哪一项会是一个危险信号？</w:t>
      </w:r>
      <w:r>
        <w:br/>
      </w:r>
      <w:r>
        <w:t>A bank is completing a periodic KYC profile review for a customer that is a small digital marketing company based in New York City. Which of the following would be a red flag?</w:t>
      </w:r>
    </w:p>
    <w:p>
      <w:pPr>
        <w:spacing w:line="360" w:lineRule="auto" w:after="20"/>
      </w:pPr>
      <w:r>
        <w:t>A.账户活动包括向储蓄账户和支票账户的存款活动</w:t>
      </w:r>
      <w:r>
        <w:br/>
      </w:r>
      <w:r>
        <w:t>The account activity includes deposit activity into both savings and checking accounts</w:t>
      </w:r>
    </w:p>
    <w:p>
      <w:pPr>
        <w:spacing w:line="360" w:lineRule="auto" w:after="20"/>
      </w:pPr>
      <w:r>
        <w:t>B.该账户的活动包括来自纽约地区小企业的不定期资金转入.</w:t>
      </w:r>
      <w:r>
        <w:br/>
      </w:r>
      <w:r>
        <w:t>The account activity includes incoming funds transfers at irregular intervals from small businesses located in New York</w:t>
      </w:r>
    </w:p>
    <w:p>
      <w:pPr>
        <w:spacing w:line="360" w:lineRule="auto" w:after="20"/>
      </w:pPr>
      <w:r>
        <w:t>C.该账户的活动包括在纽约市多个分行向同一账户存入款项.</w:t>
      </w:r>
      <w:r>
        <w:br/>
      </w:r>
      <w:r>
        <w:t>The account activity includes deposits made in multiple branches around New York City into the same account</w:t>
      </w:r>
    </w:p>
    <w:p>
      <w:pPr>
        <w:spacing w:line="360" w:lineRule="auto" w:after="20"/>
      </w:pPr>
      <w:r>
        <w:t>D.该账户的活动包括频繁购买行业会议及其他活动的门票.</w:t>
      </w:r>
      <w:r>
        <w:br/>
      </w:r>
      <w:r>
        <w:t>The account activity includes frequent purchases of tickets to industry conferences and other events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依据客户业务画像识别异常账户活动模式</w:t>
      </w:r>
    </w:p>
    <w:p>
      <w:pPr>
        <w:spacing w:before="120" w:after="40"/>
      </w:pPr>
      <w:r>
        <w:rPr>
          <w:b/>
          <w:sz w:val="21"/>
          <w:shd w:fill="D6E4F0" w:val="clear"/>
        </w:rPr>
        <w:t>核心解析：</w:t>
      </w:r>
    </w:p>
    <w:p>
      <w:pPr>
        <w:spacing w:line="360" w:lineRule="auto" w:after="40"/>
        <w:ind w:firstLine="420"/>
      </w:pPr>
      <w:r>
        <w:t>交易监控中，</w:t>
      </w:r>
      <w:r>
        <w:rPr>
          <w:b/>
        </w:rPr>
        <w:t>与客户业务画像不符的交易</w:t>
      </w:r>
      <w:r>
        <w:t>可能构成金融犯罪风险指标</w:t>
      </w:r>
      <w:r>
        <w:rPr>
          <w:sz w:val="15"/>
          <w:vertAlign w:val="superscript"/>
        </w:rPr>
        <w:t>P443</w:t>
      </w:r>
      <w:r>
        <w:t>。在给定选项中，C项所述款项由纽约市多个分行存入同一账户，呈现出相对分散的存入地点，需要结合数字营销公司的经营方式、收款来源和预期活动进一步核实，因此比其他选项更值得关注。相比之下，A项仅说明账户产品和存款活动，B项是来自本地小企业的转入，D项也可能属于业务相关支出，题干均未给出更明确的异常要素。需要注意，题干没有说明存款媒介、金额、频率或是否存在规避报告阈值的行为，不能仅凭“多个分行”直接认定为拆分交易或第三方资金归集；C项是在现有选项中相对更符合</w:t>
      </w:r>
      <w:r>
        <w:rPr>
          <w:b/>
        </w:rPr>
        <w:t>风险导向审查思路</w:t>
      </w:r>
      <w:r>
        <w:t>的答案。</w:t>
      </w:r>
    </w:p>
    <w:p>
      <w:pPr>
        <w:spacing w:before="120" w:after="40"/>
      </w:pPr>
      <w:r>
        <w:rPr>
          <w:b/>
          <w:sz w:val="21"/>
          <w:shd w:fill="D6E4F0" w:val="clear"/>
        </w:rPr>
        <w:t>教材原句：</w:t>
      </w:r>
    </w:p>
    <w:p>
      <w:pPr>
        <w:spacing w:line="360" w:lineRule="auto" w:after="40"/>
        <w:ind w:firstLine="420"/>
      </w:pPr>
      <w:r>
        <w:t>"Transactions that do not align with a customer’s business profile, unexplained fund transfers, or sudden activity in dormant accounts might also indicate potential financial crime."</w:t>
      </w:r>
    </w:p>
    <w:p>
      <w:pPr>
        <w:spacing w:before="120" w:after="40"/>
      </w:pPr>
      <w:r>
        <w:rPr>
          <w:b/>
          <w:sz w:val="21"/>
          <w:shd w:fill="D6E4F0" w:val="clear"/>
        </w:rPr>
        <w:t>A项错误：</w:t>
      </w:r>
    </w:p>
    <w:p>
      <w:pPr>
        <w:spacing w:line="360" w:lineRule="auto" w:after="40"/>
        <w:ind w:firstLine="420"/>
      </w:pPr>
      <w:r>
        <w:t>持有储蓄账户和支票账户是常见的银行业务安排</w:t>
      </w:r>
      <w:r>
        <w:rPr>
          <w:sz w:val="15"/>
          <w:vertAlign w:val="superscript"/>
        </w:rPr>
        <w:t>P468</w:t>
      </w:r>
      <w:r>
        <w:t>。题干没有说明这些存款与客户业务画像不符或存在其他异常，因而不构成本题最明显的红旗信号。</w:t>
      </w:r>
    </w:p>
    <w:p>
      <w:pPr>
        <w:spacing w:before="120" w:after="40"/>
      </w:pPr>
      <w:r>
        <w:rPr>
          <w:b/>
          <w:sz w:val="21"/>
          <w:shd w:fill="D6E4F0" w:val="clear"/>
        </w:rPr>
        <w:t>B项错误：</w:t>
      </w:r>
    </w:p>
    <w:p>
      <w:pPr>
        <w:spacing w:line="360" w:lineRule="auto" w:after="40"/>
        <w:ind w:firstLine="420"/>
      </w:pPr>
      <w:r>
        <w:t>地理定位相关的风险指标之一是转账涉及远离客户运营区域的机构</w:t>
      </w:r>
      <w:r>
        <w:rPr>
          <w:sz w:val="15"/>
          <w:vertAlign w:val="superscript"/>
        </w:rPr>
        <w:t>P395</w:t>
      </w:r>
      <w:r>
        <w:t>，而选项B中资金转入来自“纽约地区”的小企业，与总部同样位于纽约的客户同处一个地域范围，并不满足“远离客户运营区域”这一风险条件。题干更支持C所体现的“行为模式与业务画像不一致”，而非B所描述的同城正常往来。</w:t>
      </w:r>
    </w:p>
    <w:p>
      <w:pPr>
        <w:spacing w:before="120" w:after="40"/>
      </w:pPr>
      <w:r>
        <w:rPr>
          <w:b/>
          <w:sz w:val="21"/>
          <w:shd w:fill="D6E4F0" w:val="clear"/>
        </w:rPr>
        <w:t>D项错误：</w:t>
      </w:r>
    </w:p>
    <w:p>
      <w:pPr>
        <w:spacing w:line="360" w:lineRule="auto" w:after="40"/>
        <w:ind w:firstLine="420"/>
      </w:pPr>
      <w:r>
        <w:t>参加行业会议和其他活动可能与数字营销公司的经营活动有关，题干也未给出门票购买存在金额、对象或用途异常等信息。相比之下，C项的多地点存入模式更需要结合客户预期活动核实，因而更符合本题所问的风险信号。</w:t>
      </w:r>
    </w:p>
    <w:p>
      <w:pPr>
        <w:spacing w:before="120" w:after="40"/>
      </w:pPr>
      <w:r>
        <w:rPr>
          <w:b/>
          <w:sz w:val="21"/>
          <w:shd w:fill="D6E4F0" w:val="clear"/>
        </w:rPr>
        <w:t>易错提醒：</w:t>
      </w:r>
    </w:p>
    <w:p>
      <w:pPr>
        <w:spacing w:line="360" w:lineRule="auto" w:after="40"/>
        <w:ind w:firstLine="420"/>
      </w:pPr>
      <w:r>
        <w:t>风险信号表示“需要进一步调查”，不等于已经证明洗钱。多分行存款只有结合现金属性、金额与频率、存款人身份及是否规避报告阈值等信息，才能判断是否属于拆分交易。</w:t>
      </w:r>
    </w:p>
    <w:p>
      <w:pPr>
        <w:spacing w:line="360" w:lineRule="auto" w:after="120"/>
      </w:pPr>
      <w:r/>
    </w:p>
    <w:p>
      <w:pPr>
        <w:spacing w:line="360" w:lineRule="auto" w:after="40"/>
      </w:pPr>
      <w:r>
        <w:t>2. 在赌场中,哪种可疑活动可能是洗钱的最强有力的迹象？</w:t>
      </w:r>
      <w:r>
        <w:br/>
      </w:r>
      <w:r>
        <w:t>Which suspicious activity may be the strongest indicator of money laundering through a casino?</w:t>
      </w:r>
    </w:p>
    <w:p>
      <w:pPr>
        <w:spacing w:line="360" w:lineRule="auto" w:after="20"/>
      </w:pPr>
      <w:r>
        <w:t>A.一家非上市公司发起资金转移,通过赌场将资金转入多名赌客的投注账户.</w:t>
      </w:r>
      <w:r>
        <w:br/>
      </w:r>
      <w:r>
        <w:t>A privately held company originates fund transfers through the casino into the betting accounts of multiple patrons</w:t>
      </w:r>
    </w:p>
    <w:p>
      <w:pPr>
        <w:spacing w:line="360" w:lineRule="auto" w:after="20"/>
      </w:pPr>
      <w:r>
        <w:t>B.一位赌客要求赌场将其赢来的钱转给另一家博彩运营商</w:t>
      </w:r>
      <w:r>
        <w:br/>
      </w:r>
      <w:r>
        <w:t>A patron requests the casino to transfer their winnings to another gambling operator</w:t>
      </w:r>
    </w:p>
    <w:p>
      <w:pPr>
        <w:spacing w:line="360" w:lineRule="auto" w:after="20"/>
      </w:pPr>
      <w:r>
        <w:t>C.一位赌客在21点赌桌前用现金购买了大量筹码</w:t>
      </w:r>
      <w:r>
        <w:br/>
      </w:r>
      <w:r>
        <w:t>A patron purchases a large amount of chips at a blackjack table using cash</w:t>
      </w:r>
    </w:p>
    <w:p>
      <w:pPr>
        <w:spacing w:line="360" w:lineRule="auto" w:after="20"/>
      </w:pPr>
      <w:r>
        <w:t>D.一位常客经常在相同的体育赛事上多次下注.</w:t>
      </w:r>
      <w:r>
        <w:br/>
      </w:r>
      <w:r>
        <w:t>A patron routinely places multiple bets on the same sporting events</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识别客户业务画像与资金转移模式的不匹配</w:t>
      </w:r>
    </w:p>
    <w:p>
      <w:pPr>
        <w:spacing w:before="120" w:after="40"/>
      </w:pPr>
      <w:r>
        <w:rPr>
          <w:b/>
          <w:sz w:val="21"/>
          <w:shd w:fill="D6E4F0" w:val="clear"/>
        </w:rPr>
        <w:t>核心解析：</w:t>
      </w:r>
    </w:p>
    <w:p>
      <w:pPr>
        <w:spacing w:line="360" w:lineRule="auto" w:after="40"/>
        <w:ind w:firstLine="420"/>
      </w:pPr>
      <w:r>
        <w:t>题目要求识别赌场洗钱的“最强”迹象，而不是判断哪些行为在任何情况下都属于正常交易。教材指出，</w:t>
      </w:r>
      <w:r>
        <w:rPr>
          <w:b/>
        </w:rPr>
        <w:t>与客户业务画像不符的交易、无法解释的资金转移</w:t>
      </w:r>
      <w:r>
        <w:t>等情况可能表明潜在金融犯罪</w:t>
      </w:r>
      <w:r>
        <w:rPr>
          <w:sz w:val="15"/>
          <w:vertAlign w:val="superscript"/>
        </w:rPr>
        <w:t>P443</w:t>
      </w:r>
      <w:r>
        <w:t>。选项A中，一家非上市公司发起资金转移，通过赌场向多名赌客的投注账户转入资金，缺乏明显的正常业务理由，同时包含公司资金、第三方赌客和多个投注账户等异常要素，直接体现了业务画像不匹配和难以解释的资金转移。</w:t>
      </w:r>
    </w:p>
    <w:p>
      <w:pPr>
        <w:spacing w:line="360" w:lineRule="auto" w:after="40"/>
        <w:ind w:firstLine="420"/>
      </w:pPr>
      <w:r>
        <w:t>教材案例还表明，通过多个实体和账户转移资金会形成复杂、难以追踪的资金链路</w:t>
      </w:r>
      <w:r>
        <w:rPr>
          <w:sz w:val="15"/>
          <w:vertAlign w:val="superscript"/>
        </w:rPr>
        <w:t>P56</w:t>
      </w:r>
      <w:r>
        <w:t>。相比之下，其他选项虽然可能在特定背景下需要进一步审查，但题干没有提供与A同等程度的</w:t>
      </w:r>
      <w:r>
        <w:rPr>
          <w:b/>
        </w:rPr>
        <w:t>第三方资金分散、业务画像不符或复杂资金流向</w:t>
      </w:r>
      <w:r>
        <w:t>。因此，A是四个选项中最强的洗钱迹象。教材同时指出，赌场因大量现金交易而特别容易受到洗钱活动侵害</w:t>
      </w:r>
      <w:r>
        <w:rPr>
          <w:sz w:val="15"/>
          <w:vertAlign w:val="superscript"/>
        </w:rPr>
        <w:t>P120</w:t>
      </w:r>
      <w:r>
        <w:t>。这意味着C中的大额现金购买筹码也可能引起关注，但仅凭该行为，尚不足以证明其可疑程度高于A。</w:t>
      </w:r>
    </w:p>
    <w:p>
      <w:pPr>
        <w:spacing w:before="120" w:after="40"/>
      </w:pPr>
      <w:r>
        <w:rPr>
          <w:b/>
          <w:sz w:val="21"/>
          <w:shd w:fill="D6E4F0" w:val="clear"/>
        </w:rPr>
        <w:t>教材原句：</w:t>
      </w:r>
    </w:p>
    <w:p>
      <w:pPr>
        <w:spacing w:line="360" w:lineRule="auto" w:after="40"/>
        <w:ind w:firstLine="420"/>
      </w:pPr>
      <w:r>
        <w:t>"Transactions that do not align with a customer’s business profile, unexplained fund transfers, or sudden activity in dormant accounts might also indicate potential financial crime."</w:t>
      </w:r>
    </w:p>
    <w:p>
      <w:pPr>
        <w:spacing w:before="120" w:after="40"/>
      </w:pPr>
      <w:r>
        <w:rPr>
          <w:b/>
          <w:sz w:val="21"/>
          <w:shd w:fill="D6E4F0" w:val="clear"/>
        </w:rPr>
        <w:t>B项错误：</w:t>
      </w:r>
    </w:p>
    <w:p>
      <w:pPr>
        <w:spacing w:line="360" w:lineRule="auto" w:after="40"/>
        <w:ind w:firstLine="420"/>
      </w:pPr>
      <w:r>
        <w:t>将赢款转至另一家博彩运营商在特定情况下可能需要审查，但题干没有说明资金来源不明、涉及多个第三方账户或与客户画像不符。其异常程度不如A所体现的公司资金向多个赌客账户分散转移。</w:t>
      </w:r>
    </w:p>
    <w:p>
      <w:pPr>
        <w:spacing w:before="120" w:after="40"/>
      </w:pPr>
      <w:r>
        <w:rPr>
          <w:b/>
          <w:sz w:val="21"/>
          <w:shd w:fill="D6E4F0" w:val="clear"/>
        </w:rPr>
        <w:t>C项错误：</w:t>
      </w:r>
    </w:p>
    <w:p>
      <w:pPr>
        <w:spacing w:line="360" w:lineRule="auto" w:after="40"/>
        <w:ind w:firstLine="420"/>
      </w:pPr>
      <w:r>
        <w:t>赌场因大量现金交易而具有较高洗钱脆弱性</w:t>
      </w:r>
      <w:r>
        <w:rPr>
          <w:sz w:val="15"/>
          <w:vertAlign w:val="superscript"/>
        </w:rPr>
        <w:t>P120</w:t>
      </w:r>
      <w:r>
        <w:t>，因此大额现金购买筹码不能被直接认定为正常或无风险。但C只提供了现金购筹码这一项信息，没有体现A所具有的公司主体、第三方赌客和多账户资金分散等复合异常因素，所以不是最强迹象。</w:t>
      </w:r>
    </w:p>
    <w:p>
      <w:pPr>
        <w:spacing w:before="120" w:after="40"/>
      </w:pPr>
      <w:r>
        <w:rPr>
          <w:b/>
          <w:sz w:val="21"/>
          <w:shd w:fill="D6E4F0" w:val="clear"/>
        </w:rPr>
        <w:t>D项错误：</w:t>
      </w:r>
    </w:p>
    <w:p>
      <w:pPr>
        <w:spacing w:line="360" w:lineRule="auto" w:after="40"/>
        <w:ind w:firstLine="420"/>
      </w:pPr>
      <w:r>
        <w:t>题干只说明常客在相同赛事上多次下注，没有显示资金来源异常、第三方代付、资金分散或其他无法解释的资金流向。因此，仅凭多次投注同一赛事，不能认定其比A项更能表明洗钱。</w:t>
      </w:r>
    </w:p>
    <w:p>
      <w:pPr>
        <w:spacing w:before="120" w:after="40"/>
      </w:pPr>
      <w:r>
        <w:rPr>
          <w:b/>
          <w:sz w:val="21"/>
          <w:shd w:fill="D6E4F0" w:val="clear"/>
        </w:rPr>
        <w:t>易错提醒：</w:t>
      </w:r>
    </w:p>
    <w:p>
      <w:pPr>
        <w:spacing w:line="360" w:lineRule="auto" w:after="40"/>
        <w:ind w:firstLine="420"/>
      </w:pPr>
      <w:r>
        <w:t>未被选为“最强迹象”不等于该行为完全正常。赌场中的大额现金交易本身可能需要关注</w:t>
      </w:r>
      <w:r>
        <w:rPr>
          <w:sz w:val="15"/>
          <w:vertAlign w:val="superscript"/>
        </w:rPr>
        <w:t>P120</w:t>
      </w:r>
      <w:r>
        <w:t>，但判断风险强弱还要看是否同时存在业务画像不符、第三方资金、多个账户和无法解释的资金流向</w:t>
      </w:r>
      <w:r>
        <w:rPr>
          <w:sz w:val="15"/>
          <w:vertAlign w:val="superscript"/>
        </w:rPr>
        <w:t>P443</w:t>
      </w:r>
      <w:r>
        <w:t>。A同时具备多个异常要素，因此比仅描述大额现金购筹码的C更具识别力。</w:t>
      </w:r>
    </w:p>
    <w:p>
      <w:pPr>
        <w:spacing w:line="360" w:lineRule="auto" w:after="120"/>
      </w:pPr>
      <w:r/>
    </w:p>
    <w:p>
      <w:pPr>
        <w:spacing w:line="360" w:lineRule="auto" w:after="40"/>
      </w:pPr>
      <w:r>
        <w:t>3. 哪种情形表明律师可能存在洗钱活动？</w:t>
      </w:r>
      <w:r>
        <w:br/>
      </w:r>
      <w:r>
        <w:t>Which scenario indicates potential money laundering activity by a lawyer?</w:t>
      </w:r>
    </w:p>
    <w:p>
      <w:pPr>
        <w:spacing w:line="360" w:lineRule="auto" w:after="20"/>
      </w:pPr>
      <w:r>
        <w:t>A.一位身处高风险国家的律师将其律师事务所从信托账户开出的银行汇票存入位于低风险国家的另一位律师的信托账户，以支付所提供的法律服务费用。</w:t>
      </w:r>
      <w:r>
        <w:br/>
      </w:r>
      <w:r>
        <w:t>A lawyer located in a higher-risk country deposits their firm's bank draft issued from their trust account to another lawyer's trust account located in a low-risk country for legal services rendered.</w:t>
      </w:r>
    </w:p>
    <w:p>
      <w:pPr>
        <w:spacing w:line="360" w:lineRule="auto" w:after="20"/>
      </w:pPr>
      <w:r>
        <w:t>B.一名律师的信托账户经常收到来自高风险国家的不明汇款人的电汇，并立即将收到的相同金额资金转至低风险国家的一名已知受益人的账户。</w:t>
      </w:r>
      <w:r>
        <w:br/>
      </w:r>
      <w:r>
        <w:t>A lawyer's trust account regularly receives wire transfers from unknown remitters from a higher-risk country and immediately transfers the same amount of funds received to a known beneficiary's account in a low-risk country.</w:t>
      </w:r>
    </w:p>
    <w:p>
      <w:pPr>
        <w:spacing w:line="360" w:lineRule="auto" w:after="20"/>
      </w:pPr>
      <w:r>
        <w:t>C.一名律师的信托账户收到一家受监管保险公司的大额电汇，并立即将收到的相同金额资金转至位于低风险国家的受益人银行账户。</w:t>
      </w:r>
      <w:r>
        <w:br/>
      </w:r>
      <w:r>
        <w:t>A lawyer's trust account receives a large-value wire transfer from a regulated insurance company and immediately transfers the same amount of funds received to the beneficiary's bank account located in a low-risk country.</w:t>
      </w:r>
    </w:p>
    <w:p>
      <w:pPr>
        <w:spacing w:line="360" w:lineRule="auto" w:after="20"/>
      </w:pPr>
      <w:r>
        <w:t>D.一位律师的信托账户收到一位想购买房产的客户的大额电汇存款，随后该律师将相同金额转至房产出售方律师的信托账户。</w:t>
      </w:r>
      <w:r>
        <w:br/>
      </w:r>
      <w:r>
        <w:t>A lawyer's trust account receives a large wire transfer deposit from a client that wanted to purchase a piece of property and then transfers the same amount to the property seller's lawyer's trust account.</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识别律师信托账户的红旗指标：不明汇款人与立即转出</w:t>
      </w:r>
    </w:p>
    <w:p>
      <w:pPr>
        <w:spacing w:before="120" w:after="40"/>
      </w:pPr>
      <w:r>
        <w:rPr>
          <w:b/>
          <w:sz w:val="21"/>
          <w:shd w:fill="D6E4F0" w:val="clear"/>
        </w:rPr>
        <w:t>核心解析：</w:t>
      </w:r>
    </w:p>
    <w:p>
      <w:pPr>
        <w:spacing w:line="360" w:lineRule="auto" w:after="40"/>
        <w:ind w:firstLine="420"/>
      </w:pPr>
      <w:r>
        <w:t>交易监控中，与客户业务画像不符的交易、</w:t>
      </w:r>
      <w:r>
        <w:rPr>
          <w:b/>
        </w:rPr>
        <w:t>不明资金转移</w:t>
      </w:r>
      <w:r>
        <w:t>是金融犯罪的潜在风险指标</w:t>
      </w:r>
      <w:r>
        <w:rPr>
          <w:sz w:val="15"/>
          <w:vertAlign w:val="superscript"/>
        </w:rPr>
        <w:t>P443</w:t>
      </w:r>
      <w:r>
        <w:t>。题干中律师的信托账户“经常收到来自高风险国家的不明汇款人的电汇”——“不明汇款人”意味着资金来源无法合理解释，“经常”和“高风险国家”进一步强化了可疑性。同时，资金“立即将收到的相同金额资金转至低风险国家”的模式，与犯罪分子利用法律专业人士服务隐藏非法资金、借助跨境电汇不可逆和大额特性转移资金的手法一致</w:t>
      </w:r>
      <w:r>
        <w:rPr>
          <w:sz w:val="15"/>
          <w:vertAlign w:val="superscript"/>
        </w:rPr>
        <w:t>P125</w:t>
      </w:r>
      <w:r>
        <w:t>。两方面叠加，使该场景直接指向</w:t>
      </w:r>
      <w:r>
        <w:rPr>
          <w:b/>
        </w:rPr>
        <w:t>洗钱活动</w:t>
      </w:r>
      <w:r>
        <w:t>。</w:t>
      </w:r>
    </w:p>
    <w:p>
      <w:pPr>
        <w:spacing w:before="120" w:after="40"/>
      </w:pPr>
      <w:r>
        <w:rPr>
          <w:b/>
          <w:sz w:val="21"/>
          <w:shd w:fill="D6E4F0" w:val="clear"/>
        </w:rPr>
        <w:t>教材原句：</w:t>
      </w:r>
    </w:p>
    <w:p>
      <w:pPr>
        <w:spacing w:line="360" w:lineRule="auto" w:after="40"/>
        <w:ind w:firstLine="420"/>
      </w:pPr>
      <w:r>
        <w:t>"Transactions that do not align with a customer’s business profile, unexplained fund transfers, or sudden activity in dormant accounts might also indicate potential financial crime."</w:t>
      </w:r>
    </w:p>
    <w:p>
      <w:pPr>
        <w:spacing w:before="120" w:after="40"/>
      </w:pPr>
      <w:r>
        <w:rPr>
          <w:b/>
          <w:sz w:val="21"/>
          <w:shd w:fill="D6E4F0" w:val="clear"/>
        </w:rPr>
        <w:t>A项错误：</w:t>
      </w:r>
    </w:p>
    <w:p>
      <w:pPr>
        <w:spacing w:line="360" w:lineRule="auto" w:after="40"/>
        <w:ind w:firstLine="420"/>
      </w:pPr>
      <w:r>
        <w:t>选项A中，汇款注明为“支付所提供的法律服务费用”，有明确的商业目的，资金从本所信托账户开出银行汇票，并非“不明资金转移”。相比之下，B项中的“不明汇款人”更直接吻合风险指标，该选项不如B可疑。</w:t>
      </w:r>
    </w:p>
    <w:p>
      <w:pPr>
        <w:spacing w:before="120" w:after="40"/>
      </w:pPr>
      <w:r>
        <w:rPr>
          <w:b/>
          <w:sz w:val="21"/>
          <w:shd w:fill="D6E4F0" w:val="clear"/>
        </w:rPr>
        <w:t>C项错误：</w:t>
      </w:r>
    </w:p>
    <w:p>
      <w:pPr>
        <w:spacing w:line="360" w:lineRule="auto" w:after="40"/>
        <w:ind w:firstLine="420"/>
      </w:pPr>
      <w:r>
        <w:t>选项C中，汇款来源是“受监管保险公司”——这是一个明确、受监管的合法实体，而非不明来源。低风险国家的受益人本身也不构成独立风险因素。B项中的“不明汇款人”更直接触发“不明资金转移”风险指标，C选项缺乏洗钱的可疑要素。</w:t>
      </w:r>
    </w:p>
    <w:p>
      <w:pPr>
        <w:spacing w:before="120" w:after="40"/>
      </w:pPr>
      <w:r>
        <w:rPr>
          <w:b/>
          <w:sz w:val="21"/>
          <w:shd w:fill="D6E4F0" w:val="clear"/>
        </w:rPr>
        <w:t>D项错误：</w:t>
      </w:r>
    </w:p>
    <w:p>
      <w:pPr>
        <w:spacing w:line="360" w:lineRule="auto" w:after="40"/>
        <w:ind w:firstLine="420"/>
      </w:pPr>
      <w:r>
        <w:t>选项D描述的是典型的房地产交易资金流转——买方律师收到客户购房款，转给出卖人律师的信托账户，有清晰的业务目的和交易对手。虽然信托账户可用于隐藏所有权</w:t>
      </w:r>
      <w:r>
        <w:rPr>
          <w:sz w:val="15"/>
          <w:vertAlign w:val="superscript"/>
        </w:rPr>
        <w:t>P73</w:t>
      </w:r>
      <w:r>
        <w:t>，但该场景本身是律师日常业务的正常环节，不包含“不明来源”或“无合理解释”的可疑要素，B项的风险匹配度远高于此。</w:t>
      </w:r>
    </w:p>
    <w:p>
      <w:pPr>
        <w:spacing w:before="120" w:after="40"/>
      </w:pPr>
      <w:r>
        <w:rPr>
          <w:b/>
          <w:sz w:val="21"/>
          <w:shd w:fill="D6E4F0" w:val="clear"/>
        </w:rPr>
        <w:t>易错提醒：</w:t>
      </w:r>
    </w:p>
    <w:p>
      <w:pPr>
        <w:spacing w:line="360" w:lineRule="auto" w:after="40"/>
        <w:ind w:firstLine="420"/>
      </w:pPr>
      <w:r>
        <w:t>房地产交易中的律师信托账户流转（D）本身是常见的合法用途，若资金来源清晰且目的明确，不构成洗钱指标。洗钱风险的核心在于“资金来源不可解释”——如B项中的不明汇款人，而非交易是否经过信托账户。教材指出法律专业人士的服务被犯罪分子利用来隐藏非法资金</w:t>
      </w:r>
      <w:r>
        <w:rPr>
          <w:sz w:val="15"/>
          <w:vertAlign w:val="superscript"/>
        </w:rPr>
        <w:t>P125</w:t>
      </w:r>
      <w:r>
        <w:t>，关键是看资金链路中是否存在无法合理说明的环节。</w:t>
      </w:r>
    </w:p>
    <w:p>
      <w:pPr>
        <w:spacing w:line="360" w:lineRule="auto" w:after="120"/>
      </w:pPr>
      <w:r/>
    </w:p>
    <w:p>
      <w:pPr>
        <w:spacing w:line="360" w:lineRule="auto" w:after="40"/>
      </w:pPr>
      <w:r>
        <w:t>4. 一家银行使用网络分析工具来识别客户与犯罪实体之间的联系。该系统能够识别潜在的间接关系，但无法对这些关系进行优先级排序。合规官应采取什么措施来提高该工具的有效性？</w:t>
      </w:r>
      <w:r>
        <w:br/>
      </w:r>
      <w:r>
        <w:t>A bank is using a network analysis tool to identify links between its customers and criminal entities. The system identifies potential indirect relationships but is unable to prioritize them. What should the compliance officer do to enhance the tool's effectiveness?</w:t>
      </w:r>
    </w:p>
    <w:p>
      <w:pPr>
        <w:spacing w:line="360" w:lineRule="auto" w:after="20"/>
      </w:pPr>
      <w:r>
        <w:t>A.手动审查所有被标记的关系以确保准确无误</w:t>
      </w:r>
      <w:r>
        <w:br/>
      </w:r>
      <w:r>
        <w:t>Manually review all flagged relationships for accuracy</w:t>
      </w:r>
    </w:p>
    <w:p>
      <w:pPr>
        <w:spacing w:line="360" w:lineRule="auto" w:after="20"/>
      </w:pPr>
      <w:r>
        <w:t>B.对间接关联实施风险评分算法</w:t>
      </w:r>
      <w:r>
        <w:br/>
      </w:r>
      <w:r>
        <w:t>Implement risk-scoring algorithms for indirect connections</w:t>
      </w:r>
    </w:p>
    <w:p>
      <w:pPr>
        <w:spacing w:line="360" w:lineRule="auto" w:after="20"/>
      </w:pPr>
      <w:r>
        <w:t>C.整合外部数据库和社交媒体资料，以交叉核对被标记的实体</w:t>
      </w:r>
      <w:r>
        <w:br/>
      </w:r>
      <w:r>
        <w:t>Integrate external databases and social media profiles to cross-check flagged entities</w:t>
      </w:r>
    </w:p>
    <w:p>
      <w:pPr>
        <w:spacing w:line="360" w:lineRule="auto" w:after="20"/>
      </w:pPr>
      <w:r>
        <w:t>D.关注客户与犯罪实体之间的直接联系</w:t>
      </w:r>
      <w:r>
        <w:br/>
      </w:r>
      <w:r>
        <w:t>Focus on direct connections between customers and criminal entities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识别“网络分析工具无法优先级排序”应通过风险评分算法解决</w:t>
      </w:r>
    </w:p>
    <w:p>
      <w:pPr>
        <w:spacing w:before="120" w:after="40"/>
      </w:pPr>
      <w:r>
        <w:rPr>
          <w:b/>
          <w:sz w:val="21"/>
          <w:shd w:fill="D6E4F0" w:val="clear"/>
        </w:rPr>
        <w:t>核心解析：</w:t>
      </w:r>
    </w:p>
    <w:p>
      <w:pPr>
        <w:spacing w:line="360" w:lineRule="auto" w:after="40"/>
        <w:ind w:firstLine="420"/>
      </w:pPr>
      <w:r>
        <w:t>风险评级模型通过基于交易行为、客户属性和高风险司法管辖区敞口分配</w:t>
      </w:r>
      <w:r>
        <w:rPr>
          <w:b/>
        </w:rPr>
        <w:t>风险评分</w:t>
      </w:r>
      <w:r>
        <w:t>来增强场景有效性</w:t>
      </w:r>
      <w:r>
        <w:rPr>
          <w:sz w:val="15"/>
          <w:vertAlign w:val="superscript"/>
        </w:rPr>
        <w:t>P444</w:t>
      </w:r>
      <w:r>
        <w:t>。题干中系统能识别客户与犯罪实体之间的间接关系，但无法“优先级排序”，即缺乏区分哪些关系风险更高、更需要关注的能力。风险评分算法（risk-scoring algorithms）正是教材中为实体链接后评估潜在匹配、对警报进行</w:t>
      </w:r>
      <w:r>
        <w:rPr>
          <w:b/>
        </w:rPr>
        <w:t>优先级排序</w:t>
      </w:r>
      <w:r>
        <w:t>的方法——“严重性因素有助于对警报进行优先级排序以便调查”</w:t>
      </w:r>
      <w:r>
        <w:rPr>
          <w:sz w:val="15"/>
          <w:vertAlign w:val="superscript"/>
        </w:rPr>
        <w:t>P444</w:t>
      </w:r>
      <w:r>
        <w:t>和“实体链接后，基于风险的评分模型评估潜在匹配”</w:t>
      </w:r>
      <w:r>
        <w:rPr>
          <w:sz w:val="15"/>
          <w:vertAlign w:val="superscript"/>
        </w:rPr>
        <w:t>P484</w:t>
      </w:r>
      <w:r>
        <w:t>与此直接对应。因此，合规官实施该算法可使系统自动对间接关系赋予风险评分，按风险高低排列，从而精准提升工具的有效性。</w:t>
      </w:r>
    </w:p>
    <w:p>
      <w:pPr>
        <w:spacing w:before="120" w:after="40"/>
      </w:pPr>
      <w:r>
        <w:rPr>
          <w:b/>
          <w:sz w:val="21"/>
          <w:shd w:fill="D6E4F0" w:val="clear"/>
        </w:rPr>
        <w:t>教材原句：</w:t>
      </w:r>
    </w:p>
    <w:p>
      <w:pPr>
        <w:spacing w:line="360" w:lineRule="auto" w:after="40"/>
        <w:ind w:firstLine="420"/>
      </w:pPr>
      <w:r>
        <w:t>"Risk-rating models enhance scenario effectiveness by assigning risk scores based on transaction behaviors, customer attributes, and exposure to highrisk jurisdictions."</w:t>
      </w:r>
    </w:p>
    <w:p>
      <w:pPr>
        <w:spacing w:before="120" w:after="40"/>
      </w:pPr>
      <w:r>
        <w:rPr>
          <w:b/>
          <w:sz w:val="21"/>
          <w:shd w:fill="D6E4F0" w:val="clear"/>
        </w:rPr>
        <w:t>A项错误：</w:t>
      </w:r>
    </w:p>
    <w:p>
      <w:pPr>
        <w:spacing w:line="360" w:lineRule="auto" w:after="40"/>
        <w:ind w:firstLine="420"/>
      </w:pPr>
      <w:r>
        <w:t>手动审查所有被标记关系不能解决优先级排序问题。教材指出网络分析工具可自动分析交易并发现隐藏关联而无需人工干预</w:t>
      </w:r>
      <w:r>
        <w:rPr>
          <w:sz w:val="15"/>
          <w:vertAlign w:val="superscript"/>
        </w:rPr>
        <w:t>P330</w:t>
      </w:r>
      <w:r>
        <w:t>，手动检查此类数据耗时且劳动密集</w:t>
      </w:r>
      <w:r>
        <w:rPr>
          <w:sz w:val="15"/>
          <w:vertAlign w:val="superscript"/>
        </w:rPr>
        <w:t>P330</w:t>
      </w:r>
      <w:r>
        <w:t>。题干核心矛盾是需要区分间接关系的风险高低，风险评分算法比全面手动审查更直接地对匹配进行排序。</w:t>
      </w:r>
    </w:p>
    <w:p>
      <w:pPr>
        <w:spacing w:before="120" w:after="40"/>
      </w:pPr>
      <w:r>
        <w:rPr>
          <w:b/>
          <w:sz w:val="21"/>
          <w:shd w:fill="D6E4F0" w:val="clear"/>
        </w:rPr>
        <w:t>C项错误：</w:t>
      </w:r>
    </w:p>
    <w:p>
      <w:pPr>
        <w:spacing w:line="360" w:lineRule="auto" w:after="40"/>
        <w:ind w:firstLine="420"/>
      </w:pPr>
      <w:r>
        <w:t>整合外部数据库和社交媒体资料主要提供额外背景信息、交叉检验实体身份（P467/P484），有助于提高识别的准确度，并非直接对已被系统发现的间接关系进行风险排序。题干明确目标是对已识别的间接关系进行优先级排序，实施风险评分算法比补充外部数据匹配该需求更直接。</w:t>
      </w:r>
    </w:p>
    <w:p>
      <w:pPr>
        <w:spacing w:before="120" w:after="40"/>
      </w:pPr>
      <w:r>
        <w:rPr>
          <w:b/>
          <w:sz w:val="21"/>
          <w:shd w:fill="D6E4F0" w:val="clear"/>
        </w:rPr>
        <w:t>D项错误：</w:t>
      </w:r>
    </w:p>
    <w:p>
      <w:pPr>
        <w:spacing w:line="360" w:lineRule="auto" w:after="40"/>
        <w:ind w:firstLine="420"/>
      </w:pPr>
      <w:r>
        <w:t>只关注直接联系会丢失系统已经识别出的间接关系，也无法解决这些间接关系如何排序的问题。网络分析的价值正在于揭示隐藏关联</w:t>
      </w:r>
      <w:r>
        <w:rPr>
          <w:sz w:val="15"/>
          <w:vertAlign w:val="superscript"/>
        </w:rPr>
        <w:t>P330</w:t>
      </w:r>
      <w:r>
        <w:t>，因此D会缩小分析范围，而不是提升现有工具的优先级判断能力。</w:t>
      </w:r>
    </w:p>
    <w:p>
      <w:pPr>
        <w:spacing w:line="360" w:lineRule="auto" w:after="120"/>
      </w:pPr>
      <w:r/>
    </w:p>
    <w:p>
      <w:pPr>
        <w:spacing w:line="360" w:lineRule="auto" w:after="40"/>
      </w:pPr>
      <w:r>
        <w:t>5. 哪种交易监控工具的特性最能帮助金融机构迅速应对新兴的金融犯罪风险和威胁？</w:t>
      </w:r>
      <w:r>
        <w:br/>
      </w:r>
      <w:r>
        <w:t>Which transaction monitoring tool characteristic would best support financial institutions in rapidly responding to emerging financial crime risks and threats?</w:t>
      </w:r>
    </w:p>
    <w:p>
      <w:pPr>
        <w:spacing w:line="360" w:lineRule="auto" w:after="20"/>
      </w:pPr>
      <w:r>
        <w:t>A.基于云的部署</w:t>
      </w:r>
      <w:r>
        <w:br/>
      </w:r>
      <w:r>
        <w:t>Cloud-based deployment</w:t>
      </w:r>
    </w:p>
    <w:p>
      <w:pPr>
        <w:spacing w:line="360" w:lineRule="auto" w:after="20"/>
      </w:pPr>
      <w:r>
        <w:t>B.可配置的报告功能</w:t>
      </w:r>
      <w:r>
        <w:br/>
      </w:r>
      <w:r>
        <w:t>Configurable reporting</w:t>
      </w:r>
    </w:p>
    <w:p>
      <w:pPr>
        <w:spacing w:line="360" w:lineRule="auto" w:after="20"/>
      </w:pPr>
      <w:r>
        <w:t>C.完全集成的人工智能(AI)</w:t>
      </w:r>
      <w:r>
        <w:br/>
      </w:r>
      <w:r>
        <w:t>Fully integrated artificial intelligence (AI)</w:t>
      </w:r>
    </w:p>
    <w:p>
      <w:pPr>
        <w:spacing w:line="360" w:lineRule="auto" w:after="20"/>
      </w:pPr>
      <w:r>
        <w:t>D.构建、迭代和测试规则的能力</w:t>
      </w:r>
      <w:r>
        <w:br/>
      </w:r>
      <w:r>
        <w:t>Ability to build, iterate, and test rules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交易监控规则的测试与调优机制如何响应新兴风险</w:t>
      </w:r>
    </w:p>
    <w:p>
      <w:pPr>
        <w:spacing w:before="120" w:after="40"/>
      </w:pPr>
      <w:r>
        <w:rPr>
          <w:b/>
          <w:sz w:val="21"/>
          <w:shd w:fill="D6E4F0" w:val="clear"/>
        </w:rPr>
        <w:t>核心解析：</w:t>
      </w:r>
    </w:p>
    <w:p>
      <w:pPr>
        <w:spacing w:line="360" w:lineRule="auto" w:after="40"/>
        <w:ind w:firstLine="420"/>
      </w:pPr>
      <w:r>
        <w:t>金融机构在开发、校准和部署交易监控场景后，应</w:t>
      </w:r>
      <w:r>
        <w:rPr>
          <w:b/>
        </w:rPr>
        <w:t>持续测试和调优</w:t>
      </w:r>
      <w:r>
        <w:t>（continuously test and tune）以确保有效性</w:t>
      </w:r>
      <w:r>
        <w:rPr>
          <w:sz w:val="15"/>
          <w:vertAlign w:val="superscript"/>
        </w:rPr>
        <w:t>P446</w:t>
      </w:r>
      <w:r>
        <w:t>。测试除定期开展外，也会由监管变化、新兴金融犯罪趋势或客户交易行为变化等特殊情形触发</w:t>
      </w:r>
      <w:r>
        <w:rPr>
          <w:sz w:val="15"/>
          <w:vertAlign w:val="superscript"/>
        </w:rPr>
        <w:t>P446</w:t>
      </w:r>
      <w:r>
        <w:t>。选项D所述构建、迭代和测试规则的能力，使机构能够针对新风险调整监控规则并验证调整效果。基于规则的系统通常也更易于测试和调优</w:t>
      </w:r>
      <w:r>
        <w:rPr>
          <w:sz w:val="15"/>
          <w:vertAlign w:val="superscript"/>
        </w:rPr>
        <w:t>P446</w:t>
      </w:r>
      <w:r>
        <w:t>，因此D与题干强调的快速响应最直接匹配。</w:t>
      </w:r>
    </w:p>
    <w:p>
      <w:pPr>
        <w:spacing w:before="120" w:after="40"/>
      </w:pPr>
      <w:r>
        <w:rPr>
          <w:b/>
          <w:sz w:val="21"/>
          <w:shd w:fill="D6E4F0" w:val="clear"/>
        </w:rPr>
        <w:t>教材原句：</w:t>
      </w:r>
    </w:p>
    <w:p>
      <w:pPr>
        <w:spacing w:line="360" w:lineRule="auto" w:after="40"/>
        <w:ind w:firstLine="420"/>
      </w:pPr>
      <w:r>
        <w:t>"This process occurs periodically and due to special circumstances, such as regulatory changes, emerging financial crime trends, or shifts in customer transaction behavior."</w:t>
      </w:r>
    </w:p>
    <w:p>
      <w:pPr>
        <w:spacing w:before="120" w:after="40"/>
      </w:pPr>
      <w:r>
        <w:rPr>
          <w:b/>
          <w:sz w:val="21"/>
          <w:shd w:fill="D6E4F0" w:val="clear"/>
        </w:rPr>
        <w:t>A项错误：</w:t>
      </w:r>
    </w:p>
    <w:p>
      <w:pPr>
        <w:spacing w:line="360" w:lineRule="auto" w:after="40"/>
        <w:ind w:firstLine="420"/>
      </w:pPr>
      <w:r>
        <w:t>“基于云的部署”在教材中主要关联的是总拥有成本（total cost of ownership）的考量——机构需评估云端系统与本地服务器的成本对比。题干关注的是能否迅速应对新兴威胁，而非基础设施的部署方式。云部署可能为系统提供可扩展性，但它本身不是直接检测、调整、验证新风险规则的能力，匹配度不如D项直接。</w:t>
      </w:r>
    </w:p>
    <w:p>
      <w:pPr>
        <w:spacing w:before="120" w:after="40"/>
      </w:pPr>
      <w:r>
        <w:rPr>
          <w:b/>
          <w:sz w:val="21"/>
          <w:shd w:fill="D6E4F0" w:val="clear"/>
        </w:rPr>
        <w:t>B项错误：</w:t>
      </w:r>
    </w:p>
    <w:p>
      <w:pPr>
        <w:spacing w:line="360" w:lineRule="auto" w:after="40"/>
        <w:ind w:firstLine="420"/>
      </w:pPr>
      <w:r>
        <w:t>“可配置的报告功能”在教材中出现的语境是治理委员会（governance committees）的评估汇报流程——报告需平衡收益与风险以支持知情决策。这类报告功能侧重于输出端的信息呈现与合规文书，而非输入端对新威胁的主动检测与规则调整。题干问的是“迅速应对”威胁的工具特性，生成报告更接近于应对之后的记录与沟通环节。</w:t>
      </w:r>
    </w:p>
    <w:p>
      <w:pPr>
        <w:spacing w:before="120" w:after="40"/>
      </w:pPr>
      <w:r>
        <w:rPr>
          <w:b/>
          <w:sz w:val="21"/>
          <w:shd w:fill="D6E4F0" w:val="clear"/>
        </w:rPr>
        <w:t>C项错误：</w:t>
      </w:r>
    </w:p>
    <w:p>
      <w:pPr>
        <w:spacing w:line="360" w:lineRule="auto" w:after="40"/>
        <w:ind w:firstLine="420"/>
      </w:pPr>
      <w:r>
        <w:t>“完全集成的人工智能”确实能增强检测能力——AI可以优先排序筛查结果、检测异常和减少误报，且能通过模式识别持续学习和改进。然而，教材也指出AI工具的测试和调优是一个“复杂且动态的过程”，涉及训练、测试和再训练，对数据集的质量和广度要求高</w:t>
      </w:r>
      <w:r>
        <w:rPr>
          <w:sz w:val="15"/>
          <w:vertAlign w:val="superscript"/>
        </w:rPr>
        <w:t>P448</w:t>
      </w:r>
      <w:r>
        <w:t>。相比之下，基于规则的系统“通常更易于测试和调优”</w:t>
      </w:r>
      <w:r>
        <w:rPr>
          <w:sz w:val="15"/>
          <w:vertAlign w:val="superscript"/>
        </w:rPr>
        <w:t>P446</w:t>
      </w:r>
      <w:r>
        <w:t>，在面对新兴威胁时需要的是快速响应，D项所描述的能力在操作上更直接、更灵活。AI并非不能应对，而是其调优路径不如基于规则的迭代测试那样轻量和快速。</w:t>
      </w:r>
    </w:p>
    <w:p>
      <w:pPr>
        <w:spacing w:before="120" w:after="40"/>
      </w:pPr>
      <w:r>
        <w:rPr>
          <w:b/>
          <w:sz w:val="21"/>
          <w:shd w:fill="D6E4F0" w:val="clear"/>
        </w:rPr>
        <w:t>易错提醒：</w:t>
      </w:r>
    </w:p>
    <w:p>
      <w:pPr>
        <w:spacing w:line="360" w:lineRule="auto" w:after="40"/>
        <w:ind w:firstLine="420"/>
      </w:pPr>
      <w:r>
        <w:t>AI和规则系统都能检测犯罪，但二者响应新兴威胁的机制不同：规则系统靠人工快速构建和调优新规则，路径短、速度快</w:t>
      </w:r>
      <w:r>
        <w:rPr>
          <w:sz w:val="15"/>
          <w:vertAlign w:val="superscript"/>
        </w:rPr>
        <w:t>P446</w:t>
      </w:r>
      <w:r>
        <w:t>；AI系统则需要训练数据积累和模型再训练，过程更复杂</w:t>
      </w:r>
      <w:r>
        <w:rPr>
          <w:sz w:val="15"/>
          <w:vertAlign w:val="superscript"/>
        </w:rPr>
        <w:t>P448</w:t>
      </w:r>
      <w:r>
        <w:t>。题干强调“迅速”，规则迭代路径更直接匹配。</w:t>
      </w:r>
    </w:p>
    <w:p>
      <w:pPr>
        <w:spacing w:line="360" w:lineRule="auto" w:after="120"/>
      </w:pPr>
      <w:r/>
    </w:p>
    <w:p>
      <w:pPr>
        <w:spacing w:line="360" w:lineRule="auto" w:after="40"/>
      </w:pPr>
      <w:r>
        <w:t>6. 负责监督银行交易监控方法的治理和有效性的团队应实施哪些策略？（选择两项。）</w:t>
      </w:r>
      <w:r>
        <w:br/>
      </w:r>
      <w:r>
        <w:t>A team overseeing the governance and effectiveness of a bank's transaction monitoring approach should implement which strategies? (Select Two.)</w:t>
      </w:r>
    </w:p>
    <w:p>
      <w:pPr>
        <w:spacing w:line="360" w:lineRule="auto" w:after="20"/>
      </w:pPr>
      <w:r>
        <w:t>A.定期审查向金融犯罪执法网络(FinCEN)提交的可疑活动报告(SAR)，以确定是否应撤回其中任何一份</w:t>
      </w:r>
      <w:r>
        <w:br/>
      </w:r>
      <w:r>
        <w:t>Periodic review of suspicious activity reports (SARs) filed with FinCEN to determine whether any should be withdrawn</w:t>
      </w:r>
    </w:p>
    <w:p>
      <w:pPr>
        <w:spacing w:line="360" w:lineRule="auto" w:after="20"/>
      </w:pPr>
      <w:r>
        <w:t>B.定期及临时与法律团队合作，对传票对象或政府调查所涉交易进行适当调查和监控</w:t>
      </w:r>
      <w:r>
        <w:br/>
      </w:r>
      <w:r>
        <w:t>Periodic and ad hoc cooperation with the legal team to appropriately investigate and monitor the transactions of subjects of subpoenas or government inquiries</w:t>
      </w:r>
    </w:p>
    <w:p>
      <w:pPr>
        <w:spacing w:line="360" w:lineRule="auto" w:after="20"/>
      </w:pPr>
      <w:r>
        <w:t>C.定期审查客户档案，以确保高风险客户的档案信息是最新的，并符合银行内部政策和程序</w:t>
      </w:r>
      <w:r>
        <w:br/>
      </w:r>
      <w:r>
        <w:t>Periodic review of client profiles to ensure that the most up-to-date information is on file for high-risk clients in line with the bank's internal policies and procedures</w:t>
      </w:r>
    </w:p>
    <w:p>
      <w:pPr>
        <w:spacing w:line="360" w:lineRule="auto" w:after="20"/>
      </w:pPr>
      <w:r>
        <w:t>D.定期审查交易监测场景及其成效，以确保适当反映反洗钱的各类模式</w:t>
      </w:r>
      <w:r>
        <w:br/>
      </w:r>
      <w:r>
        <w:t>Periodic review of transaction monitoring scenarios and their effectiveness to ensure that appropriate AML typologies are reflected</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区分交易监测治理与客户尽调、SAR操作等环节的职责边界</w:t>
      </w:r>
    </w:p>
    <w:p>
      <w:pPr>
        <w:spacing w:before="120" w:after="40"/>
      </w:pPr>
      <w:r>
        <w:rPr>
          <w:b/>
          <w:sz w:val="21"/>
          <w:shd w:fill="D6E4F0" w:val="clear"/>
        </w:rPr>
        <w:t>核心解析：</w:t>
      </w:r>
    </w:p>
    <w:p>
      <w:pPr>
        <w:spacing w:line="360" w:lineRule="auto" w:after="40"/>
        <w:ind w:firstLine="420"/>
      </w:pPr>
      <w:r>
        <w:t>治理委员会的核心职责是确保交易监测规则本身有效、公平、准确，并</w:t>
      </w:r>
      <w:r>
        <w:rPr>
          <w:b/>
        </w:rPr>
        <w:t>定期评估场景是否与变化的金融犯罪趋势对齐</w:t>
      </w:r>
      <w:r>
        <w:rPr>
          <w:sz w:val="15"/>
          <w:vertAlign w:val="superscript"/>
        </w:rPr>
        <w:t>P449</w:t>
      </w:r>
      <w:r>
        <w:t>。题干问“监督交易监控方法的治理和有效性”的团队应实施什么策略，这直接对应两个动作：一是监测场景及其成效的定期审查（选项D）</w:t>
      </w:r>
      <w:r>
        <w:rPr>
          <w:sz w:val="15"/>
          <w:vertAlign w:val="superscript"/>
        </w:rPr>
        <w:t>P449</w:t>
      </w:r>
      <w:r>
        <w:t>；二是与</w:t>
      </w:r>
      <w:r>
        <w:rPr>
          <w:b/>
        </w:rPr>
        <w:t>法律团队协作</w:t>
      </w:r>
      <w:r>
        <w:t>，确保传票对象和政府调查涉及的交易被纳入适当调查和监控（选项B）</w:t>
      </w:r>
      <w:r>
        <w:rPr>
          <w:sz w:val="15"/>
          <w:vertAlign w:val="superscript"/>
        </w:rPr>
        <w:t>P458</w:t>
      </w:r>
      <w:r>
        <w:t>。前者落在治理委员会对场景开发、调优和停用的审查职能，后者落在法律部门与金融犯罪合规团队之间就政府调查和传票进行协调的职能。两个选项共同覆盖了“监测规则本身是否有效”和“监测是否响应外部法律执法需求”两条治理主线。</w:t>
      </w:r>
    </w:p>
    <w:p>
      <w:pPr>
        <w:spacing w:before="120" w:after="40"/>
      </w:pPr>
      <w:r>
        <w:rPr>
          <w:b/>
          <w:sz w:val="21"/>
          <w:shd w:fill="D6E4F0" w:val="clear"/>
        </w:rPr>
        <w:t>A项错误：</w:t>
      </w:r>
    </w:p>
    <w:p>
      <w:pPr>
        <w:spacing w:line="360" w:lineRule="auto" w:after="40"/>
        <w:ind w:firstLine="420"/>
      </w:pPr>
      <w:r>
        <w:t>选项A聚焦已提交SAR的撤回审查，属于SAR提交后的个案质量管理，而非对交易监测规则本身的治理和有效性评估。</w:t>
      </w:r>
    </w:p>
    <w:p>
      <w:pPr>
        <w:spacing w:before="120" w:after="40"/>
      </w:pPr>
      <w:r>
        <w:rPr>
          <w:b/>
          <w:sz w:val="21"/>
          <w:shd w:fill="D6E4F0" w:val="clear"/>
        </w:rPr>
        <w:t>C项错误：</w:t>
      </w:r>
    </w:p>
    <w:p>
      <w:pPr>
        <w:spacing w:line="360" w:lineRule="auto" w:after="40"/>
        <w:ind w:firstLine="420"/>
      </w:pPr>
      <w:r>
        <w:t>选项C聚焦高风险客户的档案信息更新，属于持续尽职调查中的定期KYC审查</w:t>
      </w:r>
      <w:r>
        <w:rPr>
          <w:sz w:val="15"/>
          <w:vertAlign w:val="superscript"/>
        </w:rPr>
        <w:t>P315</w:t>
      </w:r>
      <w:r>
        <w:t>，而非交易监测方法的治理。D项对监测场景及成效的审查更直接匹配题意。</w:t>
      </w:r>
    </w:p>
    <w:p>
      <w:pPr>
        <w:spacing w:before="120" w:after="40"/>
      </w:pPr>
      <w:r>
        <w:rPr>
          <w:b/>
          <w:sz w:val="21"/>
          <w:shd w:fill="D6E4F0" w:val="clear"/>
        </w:rPr>
        <w:t>易错提醒：</w:t>
      </w:r>
    </w:p>
    <w:p>
      <w:pPr>
        <w:spacing w:line="360" w:lineRule="auto" w:after="40"/>
        <w:ind w:firstLine="420"/>
      </w:pPr>
      <w:r>
        <w:t>交易监测治理管的是“监测规则和场景本身是否有效”</w:t>
      </w:r>
      <w:r>
        <w:rPr>
          <w:sz w:val="15"/>
          <w:vertAlign w:val="superscript"/>
        </w:rPr>
        <w:t>P449</w:t>
      </w:r>
      <w:r>
        <w:t>；持续尽职调查中的定期KYC审查管的是“客户档案信息是否最新”</w:t>
      </w:r>
      <w:r>
        <w:rPr>
          <w:sz w:val="15"/>
          <w:vertAlign w:val="superscript"/>
        </w:rPr>
        <w:t>P315</w:t>
      </w:r>
      <w:r>
        <w:t>。前者瞄准系统规则，后者瞄准客户数据，两者在职责链上属于不同环节。</w:t>
      </w:r>
    </w:p>
    <w:p>
      <w:pPr>
        <w:spacing w:line="360" w:lineRule="auto" w:after="120"/>
      </w:pPr>
      <w:r/>
    </w:p>
    <w:p>
      <w:pPr>
        <w:spacing w:line="360" w:lineRule="auto" w:after="40"/>
      </w:pPr>
      <w:r>
        <w:t>7. 以下哪些是金融机构利用监管报告改进交易监控时的关键步骤？（选择两项。）</w:t>
      </w:r>
      <w:r>
        <w:br/>
      </w:r>
      <w:r>
        <w:t>Which of the following are crucial steps for a financial institution when leveraging regulatory reports to improve transaction monitoring? (Select Two.)</w:t>
      </w:r>
    </w:p>
    <w:p>
      <w:pPr>
        <w:spacing w:line="360" w:lineRule="auto" w:after="20"/>
      </w:pPr>
      <w:r>
        <w:t>A.比较报告所涉及各行业或业务领域和产品的内部数据</w:t>
      </w:r>
      <w:r>
        <w:br/>
      </w:r>
      <w:r>
        <w:t>Comparing internal data across all sectors and products referenced in the reports</w:t>
      </w:r>
    </w:p>
    <w:p>
      <w:pPr>
        <w:spacing w:line="360" w:lineRule="auto" w:after="20"/>
      </w:pPr>
      <w:r>
        <w:t>B.系统地将报告中识别出的风险纳入内部风险评估</w:t>
      </w:r>
      <w:r>
        <w:br/>
      </w:r>
      <w:r>
        <w:t>Systematically incorporating risks identified in the reports into the internal risk assessment</w:t>
      </w:r>
    </w:p>
    <w:p>
      <w:pPr>
        <w:spacing w:line="360" w:lineRule="auto" w:after="20"/>
      </w:pPr>
      <w:r>
        <w:t>C.将监管报告与同行数据进行比较</w:t>
      </w:r>
      <w:r>
        <w:br/>
      </w:r>
      <w:r>
        <w:t>Comparing regulatory reports with peer data</w:t>
      </w:r>
    </w:p>
    <w:p>
      <w:pPr>
        <w:spacing w:line="360" w:lineRule="auto" w:after="20"/>
      </w:pPr>
      <w:r>
        <w:t>D.根据已报告的犯罪类型构建或完善监测场景</w:t>
      </w:r>
      <w:r>
        <w:br/>
      </w:r>
      <w:r>
        <w:t>Building or enhancing monitoring scenarios based on reported crime typologies</w:t>
      </w:r>
    </w:p>
    <w:p>
      <w:pPr>
        <w:spacing w:line="360" w:lineRule="auto" w:after="40"/>
      </w:pPr>
      <w:r>
        <w:t>答案:B、D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将监管报告中的外部情报转化为内部风险评估与监控场景</w:t>
      </w:r>
    </w:p>
    <w:p>
      <w:pPr>
        <w:spacing w:before="120" w:after="40"/>
      </w:pPr>
      <w:r>
        <w:rPr>
          <w:b/>
          <w:sz w:val="21"/>
          <w:shd w:fill="D6E4F0" w:val="clear"/>
        </w:rPr>
        <w:t>核心解析：</w:t>
      </w:r>
    </w:p>
    <w:p>
      <w:pPr>
        <w:spacing w:line="360" w:lineRule="auto" w:after="40"/>
        <w:ind w:firstLine="420"/>
      </w:pPr>
      <w:r>
        <w:t>金融机构利用监管报告改进交易监控，核心逻辑是“</w:t>
      </w:r>
      <w:r>
        <w:rPr>
          <w:b/>
        </w:rPr>
        <w:t>外部情报 → 内部吸收 → 场景落地</w:t>
      </w:r>
      <w:r>
        <w:t>”这一链条。教材指出，机构应分析执法和政府风险报告（如FinCEN报告、国家洗钱风险评估），以帮助制定</w:t>
      </w:r>
      <w:r>
        <w:rPr>
          <w:b/>
        </w:rPr>
        <w:t>可操作的监控场景</w:t>
      </w:r>
      <w:r>
        <w:rPr>
          <w:sz w:val="15"/>
          <w:vertAlign w:val="superscript"/>
        </w:rPr>
        <w:t>P442</w:t>
      </w:r>
      <w:r>
        <w:t>；教材还说明，已识别的风险会影响机构整体的企业全面风险评估（EWRA）和风险偏好声明</w:t>
      </w:r>
      <w:r>
        <w:rPr>
          <w:sz w:val="15"/>
          <w:vertAlign w:val="superscript"/>
        </w:rPr>
        <w:t>P286</w:t>
      </w:r>
      <w:r>
        <w:t>。题干问的是“利用监管报告改进交易监控”的关键步骤，这意味着不能停留在阅读报告本身，而必须把报告中的风险信息系统性嵌入内部框架（选项B），并根据报告披露的犯罪手法构建或完善具体的监控场景（选项D）。两者分别对应“吸收”和“落地”两个环节，是最直接的匹配。</w:t>
      </w:r>
    </w:p>
    <w:p>
      <w:pPr>
        <w:spacing w:before="120" w:after="40"/>
      </w:pPr>
      <w:r>
        <w:rPr>
          <w:b/>
          <w:sz w:val="21"/>
          <w:shd w:fill="D6E4F0" w:val="clear"/>
        </w:rPr>
        <w:t>教材原句：</w:t>
      </w:r>
    </w:p>
    <w:p>
      <w:pPr>
        <w:spacing w:line="360" w:lineRule="auto" w:after="40"/>
        <w:ind w:firstLine="420"/>
      </w:pPr>
      <w:r>
        <w:t>"Institutions should also analyze law enforcement and government risk reports, such as those from the US Treasury and FinCEN, national money laundering risk assessments, and peer discussions to help develop actionable monitoring scenarios."</w:t>
      </w:r>
      <w:r>
        <w:rPr>
          <w:sz w:val="15"/>
          <w:vertAlign w:val="superscript"/>
        </w:rPr>
        <w:t>P442</w:t>
      </w:r>
    </w:p>
    <w:p>
      <w:pPr>
        <w:spacing w:before="120" w:after="40"/>
      </w:pPr>
      <w:r>
        <w:rPr>
          <w:b/>
          <w:sz w:val="21"/>
          <w:shd w:fill="D6E4F0" w:val="clear"/>
        </w:rPr>
        <w:t>A项错误：</w:t>
      </w:r>
    </w:p>
    <w:p>
      <w:pPr>
        <w:spacing w:line="360" w:lineRule="auto" w:after="40"/>
        <w:ind w:firstLine="420"/>
      </w:pPr>
      <w:r>
        <w:t>选项A要求对报告中提及的“所有”部门和产品进行内部数据比较，缺少风险针对性。监管报告的核心价值在于提供外部风险信息，应将相关内容有选择地纳入风险评估和监控场景，而非进行无差别的全量对比。</w:t>
      </w:r>
    </w:p>
    <w:p>
      <w:pPr>
        <w:spacing w:before="120" w:after="40"/>
      </w:pPr>
      <w:r>
        <w:rPr>
          <w:b/>
          <w:sz w:val="21"/>
          <w:shd w:fill="D6E4F0" w:val="clear"/>
        </w:rPr>
        <w:t>C项错误：</w:t>
      </w:r>
    </w:p>
    <w:p>
      <w:pPr>
        <w:spacing w:line="360" w:lineRule="auto" w:after="40"/>
        <w:ind w:firstLine="420"/>
      </w:pPr>
      <w:r>
        <w:t>同行讨论可以作为监控场景开发的补充信息来源，但将监管报告与同行数据作比较，并不能替代把已识别风险纳入内部风险评估、再转化为监控场景这两个关键步骤。</w:t>
      </w:r>
    </w:p>
    <w:p>
      <w:pPr>
        <w:spacing w:before="120" w:after="40"/>
      </w:pPr>
      <w:r>
        <w:rPr>
          <w:b/>
          <w:sz w:val="21"/>
          <w:shd w:fill="D6E4F0" w:val="clear"/>
        </w:rPr>
        <w:t>易错提醒：</w:t>
      </w:r>
    </w:p>
    <w:p>
      <w:pPr>
        <w:spacing w:line="360" w:lineRule="auto" w:after="40"/>
        <w:ind w:firstLine="420"/>
      </w:pPr>
      <w:r>
        <w:t>容易混淆的是“与同行交流”（peer discussions）和“将监管报告与同行数据进行比较”。教材中同行讨论是和执法报告并列的监控场景开发“素材来源”，是手段而非步骤本身</w:t>
      </w:r>
      <w:r>
        <w:rPr>
          <w:sz w:val="15"/>
          <w:vertAlign w:val="superscript"/>
        </w:rPr>
        <w:t>P442</w:t>
      </w:r>
      <w:r>
        <w:t>；而比较同行数据在教材中出现在供应商评估语境，与交易监控改进的场景不同</w:t>
      </w:r>
      <w:r>
        <w:rPr>
          <w:sz w:val="15"/>
          <w:vertAlign w:val="superscript"/>
        </w:rPr>
        <w:t>P380</w:t>
      </w:r>
      <w:r>
        <w:t>。关键是看动作的目的：服务于“内部风险评估”和“监控场景构建”才是关键步骤，仅做横向比较则不是。</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