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CH16 (中英对照)</w:t>
      </w:r>
    </w:p>
    <w:p>
      <w:pPr>
        <w:spacing w:line="360" w:lineRule="auto" w:after="160"/>
      </w:pPr>
      <w:r>
        <w:t>一、单项选择题</w:t>
      </w:r>
    </w:p>
    <w:p>
      <w:pPr>
        <w:spacing w:line="360" w:lineRule="auto" w:after="40"/>
      </w:pPr>
      <w:r>
        <w:t>1. 合规部门与组织内其他职能部门之间的互动有助于通过解决特定风险领域来增强反金融犯罪(AFC)合规计划的稳健性。哪些部门在加强组织的AFC合规计划方面发挥着关键作用？（选择两项。）</w:t>
      </w:r>
      <w:r>
        <w:br/>
      </w:r>
      <w:r>
        <w:t>Interactions between the compliance department and other functions or departments within an organization contribute to making the anti-financial crime (AFC) compliance program more robust by addressing specific risk areas. Which departments play a crucial role in enhancing the AFC compliance program of an organization? (Select two.)</w:t>
      </w:r>
    </w:p>
    <w:p>
      <w:pPr>
        <w:spacing w:line="360" w:lineRule="auto" w:after="20"/>
      </w:pPr>
      <w:r>
        <w:t>A.信息安全办公室(ISO)</w:t>
      </w:r>
      <w:r>
        <w:br/>
      </w:r>
      <w:r>
        <w:t>Information Security Office (ISO)</w:t>
      </w:r>
    </w:p>
    <w:p>
      <w:pPr>
        <w:spacing w:line="360" w:lineRule="auto" w:after="20"/>
      </w:pPr>
      <w:r>
        <w:t>B.市场营销与销售</w:t>
      </w:r>
      <w:r>
        <w:br/>
      </w:r>
      <w:r>
        <w:t>Marketing and sales</w:t>
      </w:r>
    </w:p>
    <w:p>
      <w:pPr>
        <w:spacing w:line="360" w:lineRule="auto" w:after="20"/>
      </w:pPr>
      <w:r>
        <w:t>C.人力资源(HR)</w:t>
      </w:r>
      <w:r>
        <w:br/>
      </w:r>
      <w:r>
        <w:t>Human Resources (HR)</w:t>
      </w:r>
    </w:p>
    <w:p>
      <w:pPr>
        <w:spacing w:line="360" w:lineRule="auto" w:after="20"/>
      </w:pPr>
      <w:r>
        <w:t>D.数据隐私办公室(DPO)</w:t>
      </w:r>
      <w:r>
        <w:br/>
      </w:r>
      <w:r>
        <w:t>Data Privacy Office (DPO)</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识别数据安全与数据隐私职能对AFC合规计划的直接支撑</w:t>
      </w:r>
    </w:p>
    <w:p>
      <w:pPr>
        <w:spacing w:before="120" w:after="40"/>
      </w:pPr>
      <w:r>
        <w:rPr>
          <w:b/>
          <w:sz w:val="21"/>
          <w:shd w:fill="D6E4F0" w:val="clear"/>
        </w:rPr>
        <w:t>核心解析：</w:t>
      </w:r>
    </w:p>
    <w:p>
      <w:pPr>
        <w:spacing w:line="360" w:lineRule="auto" w:after="40"/>
        <w:ind w:firstLine="420"/>
      </w:pPr>
      <w:r>
        <w:rPr>
          <w:b/>
        </w:rPr>
        <w:t>信息安全办公室（ISO）</w:t>
      </w:r>
      <w:r>
        <w:t>可以支持AFC系统和数据安全。教材指出，治理委员会应与IT和网络安全团队密切合作，建立数据保护安全协议，以防止泄露、网络威胁和未经授权访问，因此A与AFC计划存在直接联系</w:t>
      </w:r>
      <w:r>
        <w:rPr>
          <w:sz w:val="15"/>
          <w:vertAlign w:val="superscript"/>
        </w:rPr>
        <w:t>P488</w:t>
      </w:r>
      <w:r>
        <w:t>。</w:t>
      </w:r>
      <w:r>
        <w:rPr>
          <w:b/>
        </w:rPr>
        <w:t>数据隐私办公室（DPO）</w:t>
      </w:r>
      <w:r>
        <w:t>则帮助组织在金融犯罪检测与数据隐私法律义务之间取得平衡，并开展数据保护影响评估，因此D也成立</w:t>
      </w:r>
      <w:r>
        <w:rPr>
          <w:sz w:val="15"/>
          <w:vertAlign w:val="superscript"/>
        </w:rPr>
        <w:t>P212、P392</w:t>
      </w:r>
      <w:r>
        <w:t>。</w:t>
      </w:r>
    </w:p>
    <w:p>
      <w:pPr>
        <w:spacing w:line="360" w:lineRule="auto" w:after="40"/>
        <w:ind w:firstLine="420"/>
      </w:pPr>
      <w:r>
        <w:t>人力资源部门同样承担员工合规、AML法规和内部政策培训职责，也能加强AFC计划</w:t>
      </w:r>
      <w:r>
        <w:rPr>
          <w:sz w:val="15"/>
          <w:vertAlign w:val="superscript"/>
        </w:rPr>
        <w:t>P262</w:t>
      </w:r>
      <w:r>
        <w:t>；不过，A、D分别直接处理信息安全和数据隐私这两个特定风险领域，与题干所强调的部门间协作和专项风险支持更为贴合。</w:t>
      </w:r>
    </w:p>
    <w:p>
      <w:pPr>
        <w:spacing w:before="120" w:after="40"/>
      </w:pPr>
      <w:r>
        <w:rPr>
          <w:b/>
          <w:sz w:val="21"/>
          <w:shd w:fill="D6E4F0" w:val="clear"/>
        </w:rPr>
        <w:t>教材原句：</w:t>
      </w:r>
    </w:p>
    <w:p>
      <w:pPr>
        <w:spacing w:line="360" w:lineRule="auto" w:after="40"/>
        <w:ind w:firstLine="420"/>
      </w:pPr>
      <w:r>
        <w:t>"Training and human resources (HR): Develops and implements materials on staff compliance, AML regulations, and internal policies to embed a culture of compliance, especially in the front office."</w:t>
      </w:r>
      <w:r>
        <w:rPr>
          <w:sz w:val="15"/>
          <w:vertAlign w:val="superscript"/>
        </w:rPr>
        <w:t>P262</w:t>
      </w:r>
    </w:p>
    <w:p>
      <w:pPr>
        <w:spacing w:before="120" w:after="40"/>
      </w:pPr>
      <w:r>
        <w:rPr>
          <w:b/>
          <w:sz w:val="21"/>
          <w:shd w:fill="D6E4F0" w:val="clear"/>
        </w:rPr>
        <w:t>B项错误：</w:t>
      </w:r>
    </w:p>
    <w:p>
      <w:pPr>
        <w:spacing w:line="360" w:lineRule="auto" w:after="40"/>
        <w:ind w:firstLine="420"/>
      </w:pPr>
      <w:r>
        <w:t>市场营销与销售主要承担业务拓展和客户接触职责，与信息安全或数据隐私等AFC专项风险的联系不如A、D直接。</w:t>
      </w:r>
    </w:p>
    <w:p>
      <w:pPr>
        <w:spacing w:before="120" w:after="40"/>
      </w:pPr>
      <w:r>
        <w:rPr>
          <w:b/>
          <w:sz w:val="21"/>
          <w:shd w:fill="D6E4F0" w:val="clear"/>
        </w:rPr>
        <w:t>C项错误：</w:t>
      </w:r>
    </w:p>
    <w:p>
      <w:pPr>
        <w:spacing w:line="360" w:lineRule="auto" w:after="40"/>
        <w:ind w:firstLine="420"/>
      </w:pPr>
      <w:r>
        <w:t>HR负责员工合规、AML法规和内部政策培训，确实参与AFC计划</w:t>
      </w:r>
      <w:r>
        <w:rPr>
          <w:sz w:val="15"/>
          <w:vertAlign w:val="superscript"/>
        </w:rPr>
        <w:t>P262</w:t>
      </w:r>
      <w:r>
        <w:t>；但A、D分别直接对应信息安全和数据隐私风险，与题干所强调的特定风险领域联系更紧密。</w:t>
      </w:r>
    </w:p>
    <w:p>
      <w:pPr>
        <w:spacing w:before="120" w:after="40"/>
      </w:pPr>
      <w:r>
        <w:rPr>
          <w:b/>
          <w:sz w:val="21"/>
          <w:shd w:fill="D6E4F0" w:val="clear"/>
        </w:rPr>
        <w:t>易错提醒：</w:t>
      </w:r>
    </w:p>
    <w:p>
      <w:pPr>
        <w:spacing w:line="360" w:lineRule="auto" w:after="40"/>
        <w:ind w:firstLine="420"/>
      </w:pPr>
      <w:r>
        <w:t>ISO直接处理系统和数据安全</w:t>
      </w:r>
      <w:r>
        <w:rPr>
          <w:sz w:val="15"/>
          <w:vertAlign w:val="superscript"/>
        </w:rPr>
        <w:t>P488</w:t>
      </w:r>
      <w:r>
        <w:t>，DPO处理数据隐私与保护</w:t>
      </w:r>
      <w:r>
        <w:rPr>
          <w:sz w:val="15"/>
          <w:vertAlign w:val="superscript"/>
        </w:rPr>
        <w:t>P212、P392</w:t>
      </w:r>
      <w:r>
        <w:t>；HR也承担AFC培训职责</w:t>
      </w:r>
      <w:r>
        <w:rPr>
          <w:sz w:val="15"/>
          <w:vertAlign w:val="superscript"/>
        </w:rPr>
        <w:t>P262</w:t>
      </w:r>
      <w:r>
        <w:t>，因此C也有一定合理性。在要求选择两项时，按与信息安全和数据隐私风险的直接对应程度选择A、D。</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