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CH01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Which of the following is a red flag indicating potential money laundering or terrorism financing through dealers of precious metals or high-value items?</w:t>
      </w:r>
    </w:p>
    <w:p>
      <w:pPr>
        <w:spacing w:line="360" w:lineRule="auto" w:after="20"/>
        <w:ind w:firstLine="283"/>
      </w:pPr>
      <w:r>
        <w:t>A. A customer wants to purchase gold bars with a combination of cash and cryptocurrency</w:t>
      </w:r>
    </w:p>
    <w:p>
      <w:pPr>
        <w:spacing w:line="360" w:lineRule="auto" w:after="20"/>
        <w:ind w:firstLine="283"/>
      </w:pPr>
      <w:r>
        <w:t>B. A customer specifically requests to purchase a Kimberley Process-certified cut diamond</w:t>
      </w:r>
    </w:p>
    <w:p>
      <w:pPr>
        <w:spacing w:line="360" w:lineRule="auto" w:after="20"/>
        <w:ind w:firstLine="283"/>
      </w:pPr>
      <w:r>
        <w:t>C. A customer pays an antique dealer with a credit card for a high-value antique item</w:t>
      </w:r>
    </w:p>
    <w:p>
      <w:pPr>
        <w:spacing w:line="360" w:lineRule="auto" w:after="20"/>
        <w:ind w:firstLine="283"/>
      </w:pPr>
      <w:r>
        <w:t>D. A customer pays by bank transfer from their own account for a high-end, limited-edition luxury watch and requests a formal invoice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识别复杂支付方式与高价值商品相结合形成的洗钱风险链条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选项A集中体现了教材所描述的多项洗钱风险因素。教材指出，应关注偏离预期交易模式或使用复杂支付结构的交易</w:t>
      </w:r>
      <w:r>
        <w:rPr>
          <w:sz w:val="15"/>
          <w:vertAlign w:val="superscript"/>
        </w:rPr>
        <w:t>P307</w:t>
      </w:r>
      <w:r>
        <w:t>；加密资产虽然记录在区块链上，但其所有权可能难以识别和追踪</w:t>
      </w:r>
      <w:r>
        <w:rPr>
          <w:sz w:val="15"/>
          <w:vertAlign w:val="superscript"/>
        </w:rPr>
        <w:t>P111</w:t>
      </w:r>
      <w:r>
        <w:t>。同时，犯罪分子可能使用非法资金购买、转售或走私高价值商品以规避审查，黄金被明确列为可以匿名转移价值的高价值商品</w:t>
      </w:r>
      <w:r>
        <w:rPr>
          <w:sz w:val="15"/>
          <w:vertAlign w:val="superscript"/>
        </w:rPr>
        <w:t>P18</w:t>
      </w:r>
      <w:r>
        <w:t>。贵金属和宝石经销商也因商品便携、易变现和易跨境而面临较高风险，犯罪分子可能通过高价值购买和转售掩盖非法资金</w:t>
      </w:r>
      <w:r>
        <w:rPr>
          <w:sz w:val="15"/>
          <w:vertAlign w:val="superscript"/>
        </w:rPr>
        <w:t>P119</w:t>
      </w:r>
      <w:r>
        <w:t>。因此，</w:t>
      </w:r>
      <w:r>
        <w:rPr>
          <w:b/>
        </w:rPr>
        <w:t>以现金和加密货币混合购买金条</w:t>
      </w:r>
      <w:r>
        <w:t>，会将较复杂的支付结构与便携、易变现且易转售的高价值资产结合起来，增加资金归属核实和价值流向追踪的难度，构成值得进一步核查的红旗信号。红旗并不等于已经证明洗钱，而是意味着经销商应进一步核实客户身份、资金来源和交易目的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"Criminals use high-value commodities such as gold, diamonds, luxury watches, and fine art to transfer value anonymously."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客户要求购买经金伯利进程认证的钻石，本身没有表现出匿名交易、复杂支付、来源异常或规避审查等可疑特征。认证不能当然证明整个交易不存在洗钱风险，但“要求认证”本身不构成本题所问的红旗信号。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教材指出，信用卡可用于洗钱的离析和融合阶段，使用信用卡购买高价值或奢侈品时仍需保持警惕</w:t>
      </w:r>
      <w:r>
        <w:rPr>
          <w:sz w:val="15"/>
          <w:vertAlign w:val="superscript"/>
        </w:rPr>
        <w:t>P69</w:t>
      </w:r>
      <w:r>
        <w:t>。因此C并非完全没有风险。不过，题干只描述了一次信用卡购买，没有出现超额还款、快速还款、第三方付款或其他异常交易模式。相比之下，A同时叠加了混合支付、加密资产和可以匿名转移价值的黄金，红旗特征更集中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豪华手表属于高价值资产，交易中仍应做适当尽调；但D使用本人账户银行转账并要求正式发票，未出现现金来源不明、证明文件不足、匿名支付或复杂支付结构等红旗要素</w:t>
      </w:r>
      <w:r>
        <w:rPr>
          <w:sz w:val="15"/>
          <w:vertAlign w:val="superscript"/>
        </w:rPr>
        <w:t>P128</w:t>
      </w:r>
      <w:r>
        <w:t>。与A相比，D更像正常留痕交易。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判断红旗不能只看到“贵金属”“加密货币”或“豪华手表”等单个关键词，而应观察完整交易链条。A的关键在于混合支付结构与金条这种便携、易转售的高价值商品相结合，使资金归属核实和价值追踪更加复杂。D虽涉及高价值商品，但银行转账和正式发票会留下较清晰的交易记录，不如A体现红旗特征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Which method could be used in the placement stage of money laundering in the real estate sector?</w:t>
      </w:r>
    </w:p>
    <w:p>
      <w:pPr>
        <w:spacing w:line="360" w:lineRule="auto" w:after="20"/>
        <w:ind w:firstLine="283"/>
      </w:pPr>
      <w:r>
        <w:t>A. Paying an invoice to a media company via online banking for property marketing</w:t>
      </w:r>
    </w:p>
    <w:p>
      <w:pPr>
        <w:spacing w:line="360" w:lineRule="auto" w:after="20"/>
        <w:ind w:firstLine="283"/>
      </w:pPr>
      <w:r>
        <w:t>B. Using a registered trust to transfer ownership</w:t>
      </w:r>
    </w:p>
    <w:p>
      <w:pPr>
        <w:spacing w:line="360" w:lineRule="auto" w:after="20"/>
        <w:ind w:firstLine="283"/>
      </w:pPr>
      <w:r>
        <w:t>C. Using cash to purchase property</w:t>
      </w:r>
    </w:p>
    <w:p>
      <w:pPr>
        <w:spacing w:line="360" w:lineRule="auto" w:after="20"/>
        <w:ind w:firstLine="283"/>
      </w:pPr>
      <w:r>
        <w:t>D. Bringing a property back to market quickly after purchasing it</w:t>
      </w:r>
    </w:p>
    <w:p>
      <w:pPr>
        <w:spacing w:line="360" w:lineRule="auto" w:after="40"/>
      </w:pPr>
      <w:r>
        <w:t>答案：C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根据资金进入渠道的时间节点识别房地产洗钱的置入行为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置入是对犯罪所得进行</w:t>
      </w:r>
      <w:r>
        <w:rPr>
          <w:b/>
        </w:rPr>
        <w:t>初始处置，使其进入金融系统</w:t>
      </w:r>
      <w:r>
        <w:rPr>
          <w:sz w:val="15"/>
          <w:vertAlign w:val="superscript"/>
        </w:rPr>
        <w:t>P16</w:t>
      </w:r>
      <w:r>
        <w:t>。教材举出的方式包括通过银行账户处理犯罪所得，以及银行存款或购买货币工具</w:t>
      </w:r>
      <w:r>
        <w:rPr>
          <w:sz w:val="15"/>
          <w:vertAlign w:val="superscript"/>
        </w:rPr>
        <w:t>P16、P53</w:t>
      </w:r>
      <w:r>
        <w:t>。判断一个行为是否属于置入，关键不是它是否使用银行，而是该行为本身是否完成了犯罪所得的</w:t>
      </w:r>
      <w:r>
        <w:rPr>
          <w:b/>
        </w:rPr>
        <w:t>首次进入</w:t>
      </w:r>
      <w:r>
        <w:t>。选项A描述的是通过网上银行支付营销发票；这项付款能够发生，通常意味着资金此前已经位于银行账户中。如果犯罪所得经过存款进入该账户，真正完成置入的是此前的存款，而不是后续付款。房地产交易中，现金比通过金融机构付款更难追踪，全部或主要使用现金购房属于洗钱红旗</w:t>
      </w:r>
      <w:r>
        <w:rPr>
          <w:sz w:val="15"/>
          <w:vertAlign w:val="superscript"/>
        </w:rPr>
        <w:t>P122</w:t>
      </w:r>
      <w:r>
        <w:t>。题干已经限定为房地产领域的置入阶段，选项C描述了直接使用现金购买房产，即将待清洗的现金首次投入房地产交易并转换为可持有、登记和转售的资产。现金购房并不必然属于置入；但在本题给出的阶段和选项中，C与置入的行为功能和时间节点最匹配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网上银行支付描述的是银行账户内资金的后续支付，而不是资金进入银行体系的动作。题干也没有说明该发票虚假，不能直接套用教材中“支付虚假发票”的离析示例</w:t>
      </w:r>
      <w:r>
        <w:rPr>
          <w:sz w:val="15"/>
          <w:vertAlign w:val="superscript"/>
        </w:rPr>
        <w:t>P16</w:t>
      </w:r>
      <w:r>
        <w:t>。即使犯罪现金此前被存入账户，置入行为也是存款</w:t>
      </w:r>
      <w:r>
        <w:rPr>
          <w:sz w:val="15"/>
          <w:vertAlign w:val="superscript"/>
        </w:rPr>
        <w:t>P16、P53</w:t>
      </w:r>
      <w:r>
        <w:t>，而不是付款。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信托是分离资产法定所有权与控制权的法律安排</w:t>
      </w:r>
      <w:r>
        <w:rPr>
          <w:sz w:val="15"/>
          <w:vertAlign w:val="superscript"/>
        </w:rPr>
        <w:t>P73</w:t>
      </w:r>
      <w:r>
        <w:t>。利用信托转移所有权的前提是相关房产或资产已经取得，重点在于改变产权关系，发生在初始购房之后，与置入阶段的时间节点相比匹配度较低。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选项明确写明“购入房产后”，说明初始购房已经完成。教材将房产频繁易主或涉及快速交易列为洗钱红旗</w:t>
      </w:r>
      <w:r>
        <w:rPr>
          <w:sz w:val="15"/>
          <w:vertAlign w:val="superscript"/>
        </w:rPr>
        <w:t>P122</w:t>
      </w:r>
      <w:r>
        <w:t>；这类操作可能形成新的交易记录或增加资金路径复杂度，时间上晚于置入。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判断洗钱阶段应关注行为完成的功能和发生顺序，不能仅根据支付工具判断。存入银行账户可能完成置入</w:t>
      </w:r>
      <w:r>
        <w:rPr>
          <w:sz w:val="15"/>
          <w:vertAlign w:val="superscript"/>
        </w:rPr>
        <w:t>P16</w:t>
      </w:r>
      <w:r>
        <w:t>，账户之间转账可能用于离析</w:t>
      </w:r>
      <w:r>
        <w:rPr>
          <w:sz w:val="15"/>
          <w:vertAlign w:val="superscript"/>
        </w:rPr>
        <w:t>P16</w:t>
      </w:r>
      <w:r>
        <w:t>，使用网上银行支付并不天然属于置入。资产购买也不必然属于某一个阶段：直接使用待清洗的犯罪现金购买资产，可能承担置入功能；使用经过多层交易的资金购买看似合法的资产，则更接近融合</w:t>
      </w:r>
      <w:r>
        <w:rPr>
          <w:sz w:val="15"/>
          <w:vertAlign w:val="superscript"/>
        </w:rPr>
        <w:t>P16</w:t>
      </w:r>
      <w:r>
        <w:t>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3. Cryptocurrency-related technologies that can be exploited by money launderers include: (Select Two.)</w:t>
      </w:r>
    </w:p>
    <w:p>
      <w:pPr>
        <w:spacing w:line="360" w:lineRule="auto" w:after="20"/>
        <w:ind w:firstLine="283"/>
      </w:pPr>
      <w:r>
        <w:t>A. Generative copilots.</w:t>
      </w:r>
    </w:p>
    <w:p>
      <w:pPr>
        <w:spacing w:line="360" w:lineRule="auto" w:after="20"/>
        <w:ind w:firstLine="283"/>
      </w:pPr>
      <w:r>
        <w:t>B. Small language models.</w:t>
      </w:r>
    </w:p>
    <w:p>
      <w:pPr>
        <w:spacing w:line="360" w:lineRule="auto" w:after="20"/>
        <w:ind w:firstLine="283"/>
      </w:pPr>
      <w:r>
        <w:t>C. Privacy coins.</w:t>
      </w:r>
    </w:p>
    <w:p>
      <w:pPr>
        <w:spacing w:line="360" w:lineRule="auto" w:after="20"/>
        <w:ind w:firstLine="283"/>
      </w:pPr>
      <w:r>
        <w:t>D. Crypto-mixers.</w:t>
      </w:r>
    </w:p>
    <w:p>
      <w:pPr>
        <w:spacing w:line="360" w:lineRule="auto" w:after="40"/>
      </w:pPr>
      <w:r>
        <w:t>答案：C、D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识别可被洗钱者利用的加密资产相关匿名技术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教材在介绍数字资产洗钱技术时指出，洗钱者利用</w:t>
      </w:r>
      <w:r>
        <w:rPr>
          <w:b/>
        </w:rPr>
        <w:t>混币服务和隐私币</w:t>
      </w:r>
      <w:r>
        <w:t>来实现匿名</w:t>
      </w:r>
      <w:r>
        <w:rPr>
          <w:sz w:val="15"/>
          <w:vertAlign w:val="superscript"/>
        </w:rPr>
        <w:t>P17</w:t>
      </w:r>
      <w:r>
        <w:t>。题干问的是“与加密货币相关的可被洗钱者利用的技术”，而隐私币和加密货币混合器正是为</w:t>
      </w:r>
      <w:r>
        <w:rPr>
          <w:b/>
        </w:rPr>
        <w:t>混淆资金来源、切断交易可追溯性</w:t>
      </w:r>
      <w:r>
        <w:t>而设计的匿名工具，直接对应教材列举的这两种手段，因此C和D成立。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"Launderers use mixing services and privacy coins for anonymity."</w:t>
      </w:r>
      <w:r>
        <w:rPr>
          <w:sz w:val="15"/>
          <w:vertAlign w:val="superscript"/>
        </w:rPr>
        <w:t>P17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生成式AI辅助工具可用于增强风险评估、协助生成SAR叙述等合规工作</w:t>
      </w:r>
      <w:r>
        <w:rPr>
          <w:sz w:val="15"/>
          <w:vertAlign w:val="superscript"/>
        </w:rPr>
        <w:t>P397</w:t>
      </w:r>
      <w:r>
        <w:t>，但A并非本题所指用于增强加密资产匿名性的技术，因此匹配度远不如C、D。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小型语言模型是一类人工智能模型，并不以混淆加密资产交易来源或增强匿名性为其固有功能，与题干所问的加密资产洗钱技术不匹配。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