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CH02 (EN)</w:t>
      </w:r>
    </w:p>
    <w:p>
      <w:pPr>
        <w:spacing w:line="360" w:lineRule="auto" w:after="160"/>
      </w:pPr>
      <w:r>
        <w:t>一、单项选择题</w:t>
      </w:r>
    </w:p>
    <w:p>
      <w:pPr>
        <w:spacing w:line="360" w:lineRule="auto" w:after="40"/>
      </w:pPr>
      <w:r>
        <w:t>1. Assessing the money laundering risk related to a product within the financial sector includes assessing the: (Select Two.)</w:t>
      </w:r>
    </w:p>
    <w:p>
      <w:pPr>
        <w:spacing w:line="360" w:lineRule="auto" w:after="20"/>
        <w:ind w:firstLine="283"/>
      </w:pPr>
      <w:r>
        <w:t>A. Governance arrangements</w:t>
      </w:r>
    </w:p>
    <w:p>
      <w:pPr>
        <w:spacing w:line="360" w:lineRule="auto" w:after="20"/>
        <w:ind w:firstLine="283"/>
      </w:pPr>
      <w:r>
        <w:t>B. Complexity of the product</w:t>
      </w:r>
    </w:p>
    <w:p>
      <w:pPr>
        <w:spacing w:line="360" w:lineRule="auto" w:after="20"/>
        <w:ind w:firstLine="283"/>
      </w:pPr>
      <w:r>
        <w:t>C. Results of the last audit</w:t>
      </w:r>
    </w:p>
    <w:p>
      <w:pPr>
        <w:spacing w:line="360" w:lineRule="auto" w:after="20"/>
        <w:ind w:firstLine="283"/>
      </w:pPr>
      <w:r>
        <w:t>D. Financial status of the business</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产品洗钱风险评估的核心维度</w:t>
      </w:r>
    </w:p>
    <w:p>
      <w:pPr>
        <w:spacing w:before="120" w:after="40"/>
      </w:pPr>
      <w:r>
        <w:rPr>
          <w:b/>
          <w:sz w:val="21"/>
          <w:shd w:fill="D6E4F0" w:val="clear"/>
        </w:rPr>
        <w:t>核心解析：</w:t>
      </w:r>
    </w:p>
    <w:p>
      <w:pPr>
        <w:spacing w:line="360" w:lineRule="auto" w:after="40"/>
        <w:ind w:firstLine="420"/>
      </w:pPr>
      <w:r>
        <w:t>产品风险评估用于识别金融产品相关的洗钱风险，并分析犯罪分子可能如何利用产品清洗非法资金</w:t>
      </w:r>
      <w:r>
        <w:rPr>
          <w:sz w:val="15"/>
          <w:vertAlign w:val="superscript"/>
        </w:rPr>
        <w:t>P286</w:t>
      </w:r>
      <w:r>
        <w:t>。B项所述</w:t>
      </w:r>
      <w:r>
        <w:rPr>
          <w:b/>
        </w:rPr>
        <w:t>产品复杂性</w:t>
      </w:r>
      <w:r>
        <w:t>属于产品本身的风险特征</w:t>
      </w:r>
      <w:r>
        <w:rPr>
          <w:sz w:val="15"/>
          <w:vertAlign w:val="superscript"/>
        </w:rPr>
        <w:t>P275</w:t>
      </w:r>
      <w:r>
        <w:t>；A项所述</w:t>
      </w:r>
      <w:r>
        <w:rPr>
          <w:b/>
        </w:rPr>
        <w:t>治理安排</w:t>
      </w:r>
      <w:r>
        <w:t>则影响机构能否通过适当的系统、监督和控制管理产品风险</w:t>
      </w:r>
      <w:r>
        <w:rPr>
          <w:sz w:val="15"/>
          <w:vertAlign w:val="superscript"/>
        </w:rPr>
        <w:t>P51、P166、P294</w:t>
      </w:r>
      <w:r>
        <w:t>。两项分别对应产品的固有特征和相关控制环境。</w:t>
      </w:r>
    </w:p>
    <w:p>
      <w:pPr>
        <w:spacing w:before="120" w:after="40"/>
      </w:pPr>
      <w:r>
        <w:rPr>
          <w:b/>
          <w:sz w:val="21"/>
          <w:shd w:fill="D6E4F0" w:val="clear"/>
        </w:rPr>
        <w:t>教材原句：</w:t>
      </w:r>
    </w:p>
    <w:p>
      <w:pPr>
        <w:spacing w:line="360" w:lineRule="auto" w:after="40"/>
        <w:ind w:firstLine="420"/>
      </w:pPr>
      <w:r>
        <w:t>"To determine product risk, consider the complexity, potential misuse, or attractiveness of the product for illicit activities."</w:t>
      </w:r>
      <w:r>
        <w:rPr>
          <w:sz w:val="15"/>
          <w:vertAlign w:val="superscript"/>
        </w:rPr>
        <w:t>P275</w:t>
      </w:r>
    </w:p>
    <w:p>
      <w:pPr>
        <w:spacing w:before="120" w:after="40"/>
      </w:pPr>
      <w:r>
        <w:rPr>
          <w:b/>
          <w:sz w:val="21"/>
          <w:shd w:fill="D6E4F0" w:val="clear"/>
        </w:rPr>
        <w:t>C项错误：</w:t>
      </w:r>
    </w:p>
    <w:p>
      <w:pPr>
        <w:spacing w:line="360" w:lineRule="auto" w:after="40"/>
        <w:ind w:firstLine="420"/>
      </w:pPr>
      <w:r>
        <w:t>上次审计结果可以辅助判断既有控制是否有效，但它反映的是审查或保证活动的结果，不是产品本身的风险特征，也不能替代对当前治理和产品复杂性的评估。</w:t>
      </w:r>
    </w:p>
    <w:p>
      <w:pPr>
        <w:spacing w:before="120" w:after="40"/>
      </w:pPr>
      <w:r>
        <w:rPr>
          <w:b/>
          <w:sz w:val="21"/>
          <w:shd w:fill="D6E4F0" w:val="clear"/>
        </w:rPr>
        <w:t>D项错误：</w:t>
      </w:r>
    </w:p>
    <w:p>
      <w:pPr>
        <w:spacing w:line="360" w:lineRule="auto" w:after="40"/>
        <w:ind w:firstLine="420"/>
      </w:pPr>
      <w:r>
        <w:t>企业财务状况在教材中属于客户或交易对手的并购尽调信息，不是金融产品本身的风险特征或产品控制环境。</w:t>
      </w:r>
    </w:p>
    <w:p>
      <w:pPr>
        <w:spacing w:before="120" w:after="40"/>
      </w:pPr>
      <w:r>
        <w:rPr>
          <w:b/>
          <w:sz w:val="21"/>
          <w:shd w:fill="D6E4F0" w:val="clear"/>
        </w:rPr>
        <w:t>易错提醒：</w:t>
      </w:r>
    </w:p>
    <w:p>
      <w:pPr>
        <w:spacing w:line="360" w:lineRule="auto" w:after="40"/>
        <w:ind w:firstLine="420"/>
      </w:pPr>
      <w:r>
        <w:t>产品风险看产品自身的“复杂性”“潜在滥用可能性”“对非法活动的吸引力”</w:t>
      </w:r>
      <w:r>
        <w:rPr>
          <w:sz w:val="15"/>
          <w:vertAlign w:val="superscript"/>
        </w:rPr>
        <w:t>P275</w:t>
      </w:r>
      <w:r>
        <w:t>；客户风险看客户的行业、交易量、腐败指数、地理位置等。两者评估对象不同，一个是产品特征，一个是客户画像。</w:t>
      </w:r>
    </w:p>
    <w:p>
      <w:pPr>
        <w:spacing w:line="360" w:lineRule="auto" w:after="120"/>
      </w:pPr>
      <w:r/>
    </w:p>
    <w:p>
      <w:pPr>
        <w:spacing w:line="360" w:lineRule="auto" w:after="40"/>
      </w:pPr>
      <w:r>
        <w:t>2. The recently appointed senior money laundering reporting officer (MLRO) at a newly opened small digital bank has been instructed by the group chief compliance officer to implement an effective AML transaction monitoring system that can identify unusual and suspicious transactions. What are important considerations for the project to select and implement the AML transaction monitoring system at the digital bank? (Select Two.)</w:t>
      </w:r>
    </w:p>
    <w:p>
      <w:pPr>
        <w:spacing w:line="360" w:lineRule="auto" w:after="20"/>
        <w:ind w:firstLine="283"/>
      </w:pPr>
      <w:r>
        <w:t>A. Whether the vendor has documented appropriate internal controls for designing system and data integration schema.</w:t>
      </w:r>
    </w:p>
    <w:p>
      <w:pPr>
        <w:spacing w:line="360" w:lineRule="auto" w:after="20"/>
        <w:ind w:firstLine="283"/>
      </w:pPr>
      <w:r>
        <w:t>B. Whether the permissions and user access settings for reviewing, investigating, and reporting details of alerts generated by the system match the settings used by other banks.</w:t>
      </w:r>
    </w:p>
    <w:p>
      <w:pPr>
        <w:spacing w:line="360" w:lineRule="auto" w:after="20"/>
        <w:ind w:firstLine="283"/>
      </w:pPr>
      <w:r>
        <w:t>C. Whether the monitoring system is proportionate to the bank's size, business, complexity, and risk.</w:t>
      </w:r>
    </w:p>
    <w:p>
      <w:pPr>
        <w:spacing w:line="360" w:lineRule="auto" w:after="20"/>
        <w:ind w:firstLine="283"/>
      </w:pPr>
      <w:r>
        <w:t>D. Whether the monitoring system can be configured to enable the bank to perform trend analysis of transaction activity and identify unusual business relationships and transactions.</w:t>
      </w:r>
    </w:p>
    <w:p>
      <w:pPr>
        <w:spacing w:line="360" w:lineRule="auto" w:after="40"/>
      </w:pPr>
      <w:r>
        <w:t>答案：C、D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系统需与机构的风险状况相称（proportionate）</w:t>
      </w:r>
    </w:p>
    <w:p>
      <w:pPr>
        <w:spacing w:before="120" w:after="40"/>
      </w:pPr>
      <w:r>
        <w:rPr>
          <w:b/>
          <w:sz w:val="21"/>
          <w:shd w:fill="D6E4F0" w:val="clear"/>
        </w:rPr>
        <w:t>核心解析：</w:t>
      </w:r>
    </w:p>
    <w:p>
      <w:pPr>
        <w:spacing w:line="360" w:lineRule="auto" w:after="40"/>
        <w:ind w:firstLine="420"/>
      </w:pPr>
      <w:r>
        <w:t>教材指出，需评估现有系统与控制是否与银行面临的洗钱和恐怖融资特定风险相称</w:t>
      </w:r>
      <w:r>
        <w:rPr>
          <w:sz w:val="15"/>
          <w:vertAlign w:val="superscript"/>
        </w:rPr>
        <w:t>P51</w:t>
      </w:r>
      <w:r>
        <w:t>。这是一条风险为本方法的核心原则：反洗钱监控系统的规模和能力不是统一的、也不是越大越好，而是要与机构的规模、业务复杂度、风险水平相匹配。由此，选项C直接复现了这一原则，是选择系统时的首要框架性考量。同时，教材进一步指出，企业银行业务需要较为强大的交易监控系统，以更有效地分析模式、检测异常</w:t>
      </w:r>
      <w:r>
        <w:rPr>
          <w:sz w:val="15"/>
          <w:vertAlign w:val="superscript"/>
        </w:rPr>
        <w:t>P449</w:t>
      </w:r>
      <w:r>
        <w:t>。选项D要求系统能配置以执行</w:t>
      </w:r>
      <w:r>
        <w:rPr>
          <w:b/>
        </w:rPr>
        <w:t>趋势分析、识别异常业务关系和交易</w:t>
      </w:r>
      <w:r>
        <w:t>，正与这一能力要件吻合。题干中的数字银行作为新设小型机构，既需坚持相称性原则避免资源错配（C），又需确保核心的分析与异常检测能力不缺失（D）。</w:t>
      </w:r>
    </w:p>
    <w:p>
      <w:pPr>
        <w:spacing w:before="120" w:after="40"/>
      </w:pPr>
      <w:r>
        <w:rPr>
          <w:b/>
          <w:sz w:val="21"/>
          <w:shd w:fill="D6E4F0" w:val="clear"/>
        </w:rPr>
        <w:t>教材原句：</w:t>
      </w:r>
    </w:p>
    <w:p>
      <w:pPr>
        <w:spacing w:line="360" w:lineRule="auto" w:after="40"/>
        <w:ind w:firstLine="420"/>
      </w:pPr>
      <w:r>
        <w:t>"She will then need to assess the systems and controls that are in place to determine if they are commensurate with the specific risks of money laundering and terrorist financing that the bank faces."</w:t>
      </w:r>
      <w:r>
        <w:rPr>
          <w:sz w:val="15"/>
          <w:vertAlign w:val="superscript"/>
        </w:rPr>
        <w:t>P51</w:t>
      </w:r>
    </w:p>
    <w:p>
      <w:pPr>
        <w:spacing w:before="120" w:after="40"/>
      </w:pPr>
      <w:r>
        <w:rPr>
          <w:b/>
          <w:sz w:val="21"/>
          <w:shd w:fill="D6E4F0" w:val="clear"/>
        </w:rPr>
        <w:t>A项错误：</w:t>
      </w:r>
    </w:p>
    <w:p>
      <w:pPr>
        <w:spacing w:line="360" w:lineRule="auto" w:after="40"/>
        <w:ind w:firstLine="420"/>
      </w:pPr>
      <w:r>
        <w:t>题干问的是选择监控系统时的考量，核心是系统与风险是否相称、能力是否覆盖异常检测。供应商在设计和数据集成方面是否有成文的内部控制，关注的是供应商自身的控制质量，在教材框架中更接近一般性的供应商评估，不如C和D那样直接匹配交易监控系统的风险适配性与功能要件。</w:t>
      </w:r>
    </w:p>
    <w:p>
      <w:pPr>
        <w:spacing w:before="120" w:after="40"/>
      </w:pPr>
      <w:r>
        <w:rPr>
          <w:b/>
          <w:sz w:val="21"/>
          <w:shd w:fill="D6E4F0" w:val="clear"/>
        </w:rPr>
        <w:t>B项错误：</w:t>
      </w:r>
    </w:p>
    <w:p>
      <w:pPr>
        <w:spacing w:line="360" w:lineRule="auto" w:after="40"/>
        <w:ind w:firstLine="420"/>
      </w:pPr>
      <w:r>
        <w:t>教材指出大型机构可能采用多级警报审查流程，小型机构可能使用单一分析师从警报生成到提交SAR的一站式处理，但这属于系统实施后的操作流程设计，并非选择系统时的前置考量。风险为本原则要求各机构立足自身风险配置权限与流程</w:t>
      </w:r>
      <w:r>
        <w:rPr>
          <w:sz w:val="15"/>
          <w:vertAlign w:val="superscript"/>
        </w:rPr>
        <w:t>P51</w:t>
      </w:r>
      <w:r>
        <w:t>；照搬其他银行的设置，可能高估或低估自身风险，不如C所代表的“与自身风险相称”原则和D所要求的功能分析能力更贴合题干场景。</w:t>
      </w:r>
    </w:p>
    <w:p>
      <w:pPr>
        <w:spacing w:before="120" w:after="40"/>
      </w:pPr>
      <w:r>
        <w:rPr>
          <w:b/>
          <w:sz w:val="21"/>
          <w:shd w:fill="D6E4F0" w:val="clear"/>
        </w:rPr>
        <w:t>易错提醒：</w:t>
      </w:r>
    </w:p>
    <w:p>
      <w:pPr>
        <w:spacing w:line="360" w:lineRule="auto" w:after="40"/>
        <w:ind w:firstLine="420"/>
      </w:pPr>
      <w:r>
        <w:t>“与其他银行一致”并不意味着适合本机构。教材强调“风险为本”：反洗钱系统并非机构之间同质化的合规工具，其规模、参数、权限设计均应以自身风险为依据</w:t>
      </w:r>
      <w:r>
        <w:rPr>
          <w:sz w:val="15"/>
          <w:vertAlign w:val="superscript"/>
        </w:rPr>
        <w:t>P51</w:t>
      </w:r>
      <w:r>
        <w:t>。选项C的“相适应”和选项D的“能进行配置以执行趋势分析”分别指向“风险相称性原则”与“有效分析异常的能力”</w:t>
      </w:r>
      <w:r>
        <w:rPr>
          <w:sz w:val="15"/>
          <w:vertAlign w:val="superscript"/>
        </w:rPr>
        <w:t>P449</w:t>
      </w:r>
      <w:r>
        <w:t>这两个选择系统的核心标准。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