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CH02 (EN)</w:t>
      </w:r>
    </w:p>
    <w:p>
      <w:pPr>
        <w:spacing w:line="360" w:lineRule="auto" w:after="160"/>
      </w:pPr>
      <w:r>
        <w:t>一、单项选择题</w:t>
      </w:r>
    </w:p>
    <w:p>
      <w:pPr>
        <w:spacing w:line="360" w:lineRule="auto" w:after="40"/>
      </w:pPr>
      <w:r>
        <w:t>1. A law enforcement action alleged that on several trading days over the course of two months, defendants engaged in a series of copper, gold, crude oil, and natural gas futures transactions on an electronic trading platform. One defendant repeatedly bought futures contracts at low prices from the other and then immediately sold them back at higher prices. As a result, one defendant effectively pocketed the same amount as the other lost even though there were no changes in the open positions held by either defendant. What is a name for this typology?</w:t>
      </w:r>
    </w:p>
    <w:p>
      <w:pPr>
        <w:spacing w:line="360" w:lineRule="auto" w:after="20"/>
        <w:ind w:firstLine="283"/>
      </w:pPr>
      <w:r>
        <w:t>A. Short position</w:t>
      </w:r>
    </w:p>
    <w:p>
      <w:pPr>
        <w:spacing w:line="360" w:lineRule="auto" w:after="20"/>
        <w:ind w:firstLine="283"/>
      </w:pPr>
      <w:r>
        <w:t>B. Reverse flip</w:t>
      </w:r>
    </w:p>
    <w:p>
      <w:pPr>
        <w:spacing w:line="360" w:lineRule="auto" w:after="20"/>
        <w:ind w:firstLine="283"/>
      </w:pPr>
      <w:r>
        <w:t>C. Bid-ask spread</w:t>
      </w:r>
    </w:p>
    <w:p>
      <w:pPr>
        <w:spacing w:line="360" w:lineRule="auto" w:after="20"/>
        <w:ind w:firstLine="283"/>
      </w:pPr>
      <w:r>
        <w:t>D. Wash trading</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识别期货市场制造虚假交易量的洗钱类型</w:t>
      </w:r>
    </w:p>
    <w:p>
      <w:pPr>
        <w:spacing w:before="120" w:after="40"/>
      </w:pPr>
      <w:r>
        <w:rPr>
          <w:b/>
          <w:sz w:val="21"/>
          <w:shd w:fill="D6E4F0" w:val="clear"/>
        </w:rPr>
        <w:t>核心解析：</w:t>
      </w:r>
    </w:p>
    <w:p>
      <w:pPr>
        <w:spacing w:line="360" w:lineRule="auto" w:after="40"/>
        <w:ind w:firstLine="420"/>
      </w:pPr>
      <w:r>
        <w:t>教材将</w:t>
      </w:r>
      <w:r>
        <w:rPr>
          <w:b/>
        </w:rPr>
        <w:t>“预先安排的交易”</w:t>
      </w:r>
      <w:r>
        <w:t>与制造虚假交易量、掩盖资金来源联系起来</w:t>
      </w:r>
      <w:r>
        <w:rPr>
          <w:sz w:val="15"/>
          <w:vertAlign w:val="superscript"/>
        </w:rPr>
        <w:t>P66</w:t>
      </w:r>
      <w:r>
        <w:t>。题干中双方在同一平台反复进行低买高卖，持仓量没有变化，却形成一方获利、另一方承担等额损失的结果。在给定选项中，这种</w:t>
      </w:r>
      <w:r>
        <w:rPr>
          <w:b/>
        </w:rPr>
        <w:t>预先安排的循环交易</w:t>
      </w:r>
      <w:r>
        <w:t>最符合对敲交易（wash trading）的描述；这里的判断仅基于题干呈现的交易模式，不表示仅凭该模式即可认定已构成违法行为。</w:t>
      </w:r>
    </w:p>
    <w:p>
      <w:pPr>
        <w:spacing w:before="120" w:after="40"/>
      </w:pPr>
      <w:r>
        <w:rPr>
          <w:b/>
          <w:sz w:val="21"/>
          <w:shd w:fill="D6E4F0" w:val="clear"/>
        </w:rPr>
        <w:t>教材原句：</w:t>
      </w:r>
    </w:p>
    <w:p>
      <w:pPr>
        <w:spacing w:line="360" w:lineRule="auto" w:after="40"/>
        <w:ind w:firstLine="420"/>
      </w:pPr>
      <w:r>
        <w:t>"Pre-arranged trading that can create artificial trading volumes and obscure the origin of funds."</w:t>
      </w:r>
    </w:p>
    <w:p>
      <w:pPr>
        <w:spacing w:before="120" w:after="40"/>
      </w:pPr>
      <w:r>
        <w:rPr>
          <w:b/>
          <w:sz w:val="21"/>
          <w:shd w:fill="D6E4F0" w:val="clear"/>
        </w:rPr>
        <w:t>A项错误：</w:t>
      </w:r>
    </w:p>
    <w:p>
      <w:pPr>
        <w:spacing w:line="360" w:lineRule="auto" w:after="40"/>
        <w:ind w:firstLine="420"/>
      </w:pPr>
      <w:r>
        <w:t>空头头寸（Short position）指卖出自身不持有的资产以期待价格下跌时回购获利的单边方向性持仓，题干描述的是双方配对交易且持仓无变化，空头头寸无法解释“持仓量均未发生变化却产生盈亏转移”这一核心特征。</w:t>
      </w:r>
    </w:p>
    <w:p>
      <w:pPr>
        <w:spacing w:before="120" w:after="40"/>
      </w:pPr>
      <w:r>
        <w:rPr>
          <w:b/>
          <w:sz w:val="21"/>
          <w:shd w:fill="D6E4F0" w:val="clear"/>
        </w:rPr>
        <w:t>B项错误：</w:t>
      </w:r>
    </w:p>
    <w:p>
      <w:pPr>
        <w:spacing w:line="360" w:lineRule="auto" w:after="40"/>
        <w:ind w:firstLine="420"/>
      </w:pPr>
      <w:r>
        <w:t>“反向翻转”（Reverse Flip）不是此类期货交易洗钱手法的标准名称。题干描述的是双方预先安排低买高卖，在持仓不变的情况下转移损益，更符合对敲交易的特征。</w:t>
      </w:r>
    </w:p>
    <w:p>
      <w:pPr>
        <w:spacing w:before="120" w:after="40"/>
      </w:pPr>
      <w:r>
        <w:rPr>
          <w:b/>
          <w:sz w:val="21"/>
          <w:shd w:fill="D6E4F0" w:val="clear"/>
        </w:rPr>
        <w:t>C项错误：</w:t>
      </w:r>
    </w:p>
    <w:p>
      <w:pPr>
        <w:spacing w:line="360" w:lineRule="auto" w:after="40"/>
        <w:ind w:firstLine="420"/>
      </w:pPr>
      <w:r>
        <w:t>买卖价差（Bid-ask spread）指同一时刻买入价与卖出价之间的市场报价差额，是流动性指标，与题干中“跨时段以不同价格买回卖回同一对手方”的预谋循环交易逻辑完全不同。</w:t>
      </w:r>
    </w:p>
    <w:p>
      <w:pPr>
        <w:spacing w:before="120" w:after="40"/>
      </w:pPr>
      <w:r>
        <w:rPr>
          <w:b/>
          <w:sz w:val="21"/>
          <w:shd w:fill="D6E4F0" w:val="clear"/>
        </w:rPr>
        <w:t>易错提醒：</w:t>
      </w:r>
    </w:p>
    <w:p>
      <w:pPr>
        <w:spacing w:line="360" w:lineRule="auto" w:after="40"/>
        <w:ind w:firstLine="420"/>
      </w:pPr>
      <w:r>
        <w:t>对敲交易的核心在于“不转移实质所有权的循环交易”，而非单纯的价格差异。幌子交易（front running）或价格操纵虽也涉及期货市场，但对敲交易更特指同一控制人通过关联账户或合谋方进行对倒，以虚假成交量或盈亏转移资金</w:t>
      </w:r>
      <w:r>
        <w:rPr>
          <w:sz w:val="15"/>
          <w:vertAlign w:val="superscript"/>
        </w:rPr>
        <w:t>P66</w:t>
      </w:r>
      <w:r>
        <w:t>。</w:t>
      </w:r>
    </w:p>
    <w:p>
      <w:pPr>
        <w:spacing w:line="360" w:lineRule="auto" w:after="120"/>
      </w:pPr>
      <w:r/>
    </w:p>
    <w:p>
      <w:pPr>
        <w:spacing w:line="360" w:lineRule="auto" w:after="40"/>
      </w:pPr>
      <w:r>
        <w:t>2. Which red flags apply to trade-based money laundering (TBML) schemes? (Choose three.)</w:t>
      </w:r>
    </w:p>
    <w:p>
      <w:pPr>
        <w:spacing w:line="360" w:lineRule="auto" w:after="20"/>
        <w:ind w:firstLine="283"/>
      </w:pPr>
      <w:r>
        <w:t>A. Use of wire transfers</w:t>
      </w:r>
    </w:p>
    <w:p>
      <w:pPr>
        <w:spacing w:line="360" w:lineRule="auto" w:after="20"/>
        <w:ind w:firstLine="283"/>
      </w:pPr>
      <w:r>
        <w:t>B. Loitering</w:t>
      </w:r>
    </w:p>
    <w:p>
      <w:pPr>
        <w:spacing w:line="360" w:lineRule="auto" w:after="20"/>
        <w:ind w:firstLine="283"/>
      </w:pPr>
      <w:r>
        <w:t>C. Instructions or involvement from third parties</w:t>
      </w:r>
    </w:p>
    <w:p>
      <w:pPr>
        <w:spacing w:line="360" w:lineRule="auto" w:after="20"/>
        <w:ind w:firstLine="283"/>
      </w:pPr>
      <w:r>
        <w:t>D. Amended letters of credit without reasonable justification</w:t>
      </w:r>
    </w:p>
    <w:p>
      <w:pPr>
        <w:spacing w:line="360" w:lineRule="auto" w:after="20"/>
        <w:ind w:firstLine="283"/>
      </w:pPr>
      <w:r>
        <w:t>E. Non-standard settlement arrangements</w:t>
      </w:r>
    </w:p>
    <w:p>
      <w:pPr>
        <w:spacing w:line="360" w:lineRule="auto" w:after="40"/>
      </w:pPr>
      <w:r>
        <w:t>答案：C、D、E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识别教材明确列举的贸易型洗钱（TBML）警示信号</w:t>
      </w:r>
    </w:p>
    <w:p>
      <w:pPr>
        <w:spacing w:before="120" w:after="40"/>
      </w:pPr>
      <w:r>
        <w:rPr>
          <w:b/>
          <w:sz w:val="21"/>
          <w:shd w:fill="D6E4F0" w:val="clear"/>
        </w:rPr>
        <w:t>核心解析：</w:t>
      </w:r>
    </w:p>
    <w:p>
      <w:pPr>
        <w:spacing w:line="360" w:lineRule="auto" w:after="40"/>
        <w:ind w:firstLine="420"/>
      </w:pPr>
      <w:r>
        <w:t>教材在P66列举了贸易型洗钱（TBML）的具体风险类型：</w:t>
      </w:r>
      <w:r>
        <w:rPr>
          <w:b/>
        </w:rPr>
        <w:t>第三方指令或参与（Instructions or involvement from third parties）</w:t>
      </w:r>
      <w:r>
        <w:t>增加复杂性使资金来源难追踪；</w:t>
      </w:r>
      <w:r>
        <w:rPr>
          <w:b/>
        </w:rPr>
        <w:t>非标准结算安排（Nonstandard settlement arrangements）</w:t>
      </w:r>
      <w:r>
        <w:t>被用于掩盖交易真实性质。这两个选项是教材在TBML风险清单中的逐字原文。选项D“无合理理由修改的信用证”虽非教材原词，但教材指出信用证可被滥用于虚构贸易交易以跨境转移非法资金</w:t>
      </w:r>
      <w:r>
        <w:rPr>
          <w:sz w:val="15"/>
          <w:vertAlign w:val="superscript"/>
        </w:rPr>
        <w:t>P66</w:t>
      </w:r>
      <w:r>
        <w:t>，无合理理由反复修改信用证正是这种滥用行为的典型操作手法。三项均直接指向TBML这一特定洗钱类型，而非泛化的金融犯罪风险指标。</w:t>
      </w:r>
    </w:p>
    <w:p>
      <w:pPr>
        <w:spacing w:before="120" w:after="40"/>
      </w:pPr>
      <w:r>
        <w:rPr>
          <w:b/>
          <w:sz w:val="21"/>
          <w:shd w:fill="D6E4F0" w:val="clear"/>
        </w:rPr>
        <w:t>A项错误：</w:t>
      </w:r>
    </w:p>
    <w:p>
      <w:pPr>
        <w:spacing w:line="360" w:lineRule="auto" w:after="40"/>
        <w:ind w:firstLine="420"/>
      </w:pPr>
      <w:r>
        <w:t>教材在P78-79将电汇作为独立风险主题讨论，指出电汇具有即时到账、跨境转移资金等特征，属于高风险的支付工具。但电汇是一种通用的资金转移手段，并非TBML专属的警示信号。题干问的是“适用于TBML计划的警示信号”，教材P66的TBML风险清单中未将电汇列入，相比之下C、D、E与TBML的匹配度更直接。</w:t>
      </w:r>
    </w:p>
    <w:p>
      <w:pPr>
        <w:spacing w:before="120" w:after="40"/>
      </w:pPr>
      <w:r>
        <w:rPr>
          <w:b/>
          <w:sz w:val="21"/>
          <w:shd w:fill="D6E4F0" w:val="clear"/>
        </w:rPr>
        <w:t>B项错误：</w:t>
      </w:r>
    </w:p>
    <w:p>
      <w:pPr>
        <w:spacing w:line="360" w:lineRule="auto" w:after="40"/>
        <w:ind w:firstLine="420"/>
      </w:pPr>
      <w:r>
        <w:t>题干选项中的“Loitering”（滞留）通常指在营业场所附近徘徊、逗留的物理行为，常见于抢劫或诈骗的场景。教材在洗钱风险相关章节中未将滞留列为任何洗钱类型的警示信号。题干问的是贸易洗钱的警示信号，滞留行为与贸易融资业务流程完全无关。</w:t>
      </w:r>
    </w:p>
    <w:p>
      <w:pPr>
        <w:spacing w:before="120" w:after="40"/>
      </w:pPr>
      <w:r>
        <w:rPr>
          <w:b/>
          <w:sz w:val="21"/>
          <w:shd w:fill="D6E4F0" w:val="clear"/>
        </w:rPr>
        <w:t>易错提醒：</w:t>
      </w:r>
    </w:p>
    <w:p>
      <w:pPr>
        <w:spacing w:line="360" w:lineRule="auto" w:after="40"/>
        <w:ind w:firstLine="420"/>
      </w:pPr>
      <w:r>
        <w:t>电汇（Wire transfers）在教材中被描述为高风险支付工具，但它是通用的资金转移方式，涉及多种洗钱类型，而本题考的是TBML专属警示信号。两者的关键区别在于：电汇是“用什么付”，而TBML警示信号关注的是“贸易结构本身是否异常”。做题时划关键词——看到题干有“TBML”，就去找教材P66那个专门讲TBML风险的段落，不要被其他章节提到的高风险工具带偏。</w:t>
      </w:r>
    </w:p>
    <w:p>
      <w:pPr>
        <w:spacing w:line="360" w:lineRule="auto" w:after="120"/>
      </w:pPr>
      <w:r/>
    </w:p>
    <w:p>
      <w:pPr>
        <w:spacing w:line="360" w:lineRule="auto" w:after="40"/>
      </w:pPr>
      <w:r>
        <w:t>3. The relationship manager in the corporate banking department at a bank is required to take specialized AML training tailored to the risks the department is most likely to encounter. Which types of content are most appropriate for this training? (Select Two.)</w:t>
      </w:r>
    </w:p>
    <w:p>
      <w:pPr>
        <w:spacing w:line="360" w:lineRule="auto" w:after="20"/>
        <w:ind w:firstLine="283"/>
      </w:pPr>
      <w:r>
        <w:t>A. Money laundering typologies applicable to monetary instrument reporting</w:t>
      </w:r>
    </w:p>
    <w:p>
      <w:pPr>
        <w:spacing w:line="360" w:lineRule="auto" w:after="20"/>
        <w:ind w:firstLine="283"/>
      </w:pPr>
      <w:r>
        <w:t>B. Applicable AML laws and regulations</w:t>
      </w:r>
    </w:p>
    <w:p>
      <w:pPr>
        <w:spacing w:line="360" w:lineRule="auto" w:after="20"/>
        <w:ind w:firstLine="283"/>
      </w:pPr>
      <w:r>
        <w:t>C. Regulatory exam best practices</w:t>
      </w:r>
    </w:p>
    <w:p>
      <w:pPr>
        <w:spacing w:line="360" w:lineRule="auto" w:after="20"/>
        <w:ind w:firstLine="283"/>
      </w:pPr>
      <w:r>
        <w:t>D. Money laundering typologies applicable to corporate loans</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根据部门洗钱风险定制培训内容</w:t>
      </w:r>
    </w:p>
    <w:p>
      <w:pPr>
        <w:spacing w:before="120" w:after="40"/>
      </w:pPr>
      <w:r>
        <w:rPr>
          <w:b/>
          <w:sz w:val="21"/>
          <w:shd w:fill="D6E4F0" w:val="clear"/>
        </w:rPr>
        <w:t>核心解析：</w:t>
      </w:r>
    </w:p>
    <w:p>
      <w:pPr>
        <w:spacing w:line="360" w:lineRule="auto" w:after="40"/>
        <w:ind w:firstLine="420"/>
      </w:pPr>
      <w:r>
        <w:t>零售和商业银行产品各自带有不同的</w:t>
      </w:r>
      <w:r>
        <w:rPr>
          <w:b/>
        </w:rPr>
        <w:t>洗钱风险和复杂性</w:t>
      </w:r>
      <w:r>
        <w:rPr>
          <w:sz w:val="15"/>
          <w:vertAlign w:val="superscript"/>
        </w:rPr>
        <w:t>P63</w:t>
      </w:r>
      <w:r>
        <w:t>。培训应当确保员工</w:t>
      </w:r>
      <w:r>
        <w:rPr>
          <w:b/>
        </w:rPr>
        <w:t>理解其在反洗钱法规下的职责</w:t>
      </w:r>
      <w:r>
        <w:rPr>
          <w:sz w:val="15"/>
          <w:vertAlign w:val="superscript"/>
        </w:rPr>
        <w:t>P255</w:t>
      </w:r>
      <w:r>
        <w:t>。公司贷款中，</w:t>
      </w:r>
      <w:r>
        <w:rPr>
          <w:b/>
        </w:rPr>
        <w:t>复杂所有权结构使得识别实际受益人困难</w:t>
      </w:r>
      <w:r>
        <w:t>，构成洗钱风险</w:t>
      </w:r>
      <w:r>
        <w:rPr>
          <w:sz w:val="15"/>
          <w:vertAlign w:val="superscript"/>
        </w:rPr>
        <w:t>P77</w:t>
      </w:r>
      <w:r>
        <w:t>。身为公司银行部的关系经理，面对的正是此类企业贷款活动，因此培训内容既需要覆盖“适用的反洗钱法律法规”以明确职责，也需要覆盖“适用于公司贷款的洗钱类型”以识别该部门特有的风险信号。</w:t>
      </w:r>
    </w:p>
    <w:p>
      <w:pPr>
        <w:spacing w:before="120" w:after="40"/>
      </w:pPr>
      <w:r>
        <w:rPr>
          <w:b/>
          <w:sz w:val="21"/>
          <w:shd w:fill="D6E4F0" w:val="clear"/>
        </w:rPr>
        <w:t>教材原句：</w:t>
      </w:r>
    </w:p>
    <w:p>
      <w:pPr>
        <w:spacing w:line="360" w:lineRule="auto" w:after="40"/>
        <w:ind w:firstLine="420"/>
      </w:pPr>
      <w:r>
        <w:t>"Each product type comes with its own set of risks and complexities regarding money laundering and financial crime."</w:t>
      </w:r>
    </w:p>
    <w:p>
      <w:pPr>
        <w:spacing w:before="120" w:after="40"/>
      </w:pPr>
      <w:r>
        <w:rPr>
          <w:b/>
          <w:sz w:val="21"/>
          <w:shd w:fill="D6E4F0" w:val="clear"/>
        </w:rPr>
        <w:t>A项错误：</w:t>
      </w:r>
    </w:p>
    <w:p>
      <w:pPr>
        <w:spacing w:line="360" w:lineRule="auto" w:after="40"/>
        <w:ind w:firstLine="420"/>
      </w:pPr>
      <w:r>
        <w:t>货币工具报告相关洗钱类型更多出现在零售银行中涉及现金购买汇票、旅行支票等场景，题干指向的是公司银行部门，其日常业务核心并非现金货币工具的销售，匹配度不如法律法规和公司贷款洗钱类型直接。</w:t>
      </w:r>
    </w:p>
    <w:p>
      <w:pPr>
        <w:spacing w:before="120" w:after="40"/>
      </w:pPr>
      <w:r>
        <w:rPr>
          <w:b/>
          <w:sz w:val="21"/>
          <w:shd w:fill="D6E4F0" w:val="clear"/>
        </w:rPr>
        <w:t>C项错误：</w:t>
      </w:r>
    </w:p>
    <w:p>
      <w:pPr>
        <w:spacing w:line="360" w:lineRule="auto" w:after="40"/>
        <w:ind w:firstLine="420"/>
      </w:pPr>
      <w:r>
        <w:t>监管检查最佳实践虽然也属于反洗钱合规体系的一部分，但教材将其更多与合规负责人和内部审计职能挂钩</w:t>
      </w:r>
      <w:r>
        <w:rPr>
          <w:sz w:val="15"/>
          <w:vertAlign w:val="superscript"/>
        </w:rPr>
        <w:t>P299</w:t>
      </w:r>
      <w:r>
        <w:t>。关系经理的培训重心是识别自身业务线内的风险和履行法规义务，而非准备监管检查，题干更支持B和D。</w:t>
      </w:r>
    </w:p>
    <w:p>
      <w:pPr>
        <w:spacing w:before="120" w:after="40"/>
      </w:pPr>
      <w:r>
        <w:rPr>
          <w:b/>
          <w:sz w:val="21"/>
          <w:shd w:fill="D6E4F0" w:val="clear"/>
        </w:rPr>
        <w:t>易错提醒：</w:t>
      </w:r>
    </w:p>
    <w:p>
      <w:pPr>
        <w:spacing w:line="360" w:lineRule="auto" w:after="40"/>
        <w:ind w:firstLine="420"/>
      </w:pPr>
      <w:r>
        <w:t>不同业务条线的反洗钱培训侧重不同：一线业务人员重在掌握本业务特有的洗钱类型和合规义务，监管检查应对类内容通常留给合规或审计等第二、三道防线角色。</w:t>
      </w:r>
    </w:p>
    <w:p>
      <w:pPr>
        <w:spacing w:line="360" w:lineRule="auto" w:after="120"/>
      </w:pPr>
      <w:r/>
    </w:p>
    <w:p>
      <w:pPr>
        <w:spacing w:line="360" w:lineRule="auto" w:after="40"/>
      </w:pPr>
      <w:r>
        <w:t>4. Potential risk indicators for a trade counterparty in trade-based money laundering include: (Select Three.)</w:t>
      </w:r>
    </w:p>
    <w:p>
      <w:pPr>
        <w:spacing w:line="360" w:lineRule="auto" w:after="20"/>
        <w:ind w:firstLine="283"/>
      </w:pPr>
      <w:r>
        <w:t>A. Irregular or inconsistent trade volume and frequency that do not align with the historical trading behavior of the counterparty</w:t>
      </w:r>
    </w:p>
    <w:p>
      <w:pPr>
        <w:spacing w:line="360" w:lineRule="auto" w:after="20"/>
        <w:ind w:firstLine="283"/>
      </w:pPr>
      <w:r>
        <w:t>B. Contracts, invoices, or other trade documents containing detailed descriptions of the traded commodities</w:t>
      </w:r>
    </w:p>
    <w:p>
      <w:pPr>
        <w:spacing w:line="360" w:lineRule="auto" w:after="20"/>
        <w:ind w:firstLine="283"/>
      </w:pPr>
      <w:r>
        <w:t>C. Cash deposits or other transactions consistently below the relevant reporting thresholds</w:t>
      </w:r>
    </w:p>
    <w:p>
      <w:pPr>
        <w:spacing w:line="360" w:lineRule="auto" w:after="20"/>
        <w:ind w:firstLine="283"/>
      </w:pPr>
      <w:r>
        <w:t>D. Engaging in transactions, shipping routes, or shipping methods that are not in line with standard business practices</w:t>
      </w:r>
    </w:p>
    <w:p>
      <w:pPr>
        <w:spacing w:line="360" w:lineRule="auto" w:after="20"/>
        <w:ind w:firstLine="283"/>
      </w:pPr>
      <w:r>
        <w:t>E. Transparent pricing structures, with additional information provided to the receiving bank when price fluctuations exceed 10%</w:t>
      </w:r>
    </w:p>
    <w:p>
      <w:pPr>
        <w:spacing w:line="360" w:lineRule="auto" w:after="40"/>
      </w:pPr>
      <w:r>
        <w:t>答案：A、C、D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识别贸易型洗钱中</w:t>
      </w:r>
      <w:r>
        <w:rPr>
          <w:b/>
        </w:rPr>
        <w:t>交易对手的异常行为与风险指标</w:t>
      </w:r>
    </w:p>
    <w:p>
      <w:pPr>
        <w:spacing w:before="120" w:after="40"/>
      </w:pPr>
      <w:r>
        <w:rPr>
          <w:b/>
          <w:sz w:val="21"/>
          <w:shd w:fill="D6E4F0" w:val="clear"/>
        </w:rPr>
        <w:t>核心解析：</w:t>
      </w:r>
    </w:p>
    <w:p>
      <w:pPr>
        <w:spacing w:line="360" w:lineRule="auto" w:after="40"/>
        <w:ind w:firstLine="420"/>
      </w:pPr>
      <w:r>
        <w:t>贸易型洗钱（TBML）中，犯罪分子通过贸易交易掩盖资金真实性质。教材列举了若干TBML风险类型</w:t>
      </w:r>
      <w:r>
        <w:rPr>
          <w:sz w:val="15"/>
          <w:vertAlign w:val="superscript"/>
        </w:rPr>
        <w:t>P66</w:t>
      </w:r>
      <w:r>
        <w:t>，其中包含</w:t>
      </w:r>
      <w:r>
        <w:rPr>
          <w:b/>
        </w:rPr>
        <w:t>“不经济或不合理的交易策略”</w:t>
      </w:r>
      <w:r>
        <w:rPr>
          <w:sz w:val="15"/>
          <w:vertAlign w:val="superscript"/>
        </w:rPr>
        <w:t>P66</w:t>
      </w:r>
      <w:r>
        <w:t>和</w:t>
      </w:r>
      <w:r>
        <w:rPr>
          <w:b/>
        </w:rPr>
        <w:t>“异常交易模式，如对手方集中、异常盈亏率或中性化活动”</w:t>
      </w:r>
      <w:r>
        <w:rPr>
          <w:sz w:val="15"/>
          <w:vertAlign w:val="superscript"/>
        </w:rPr>
        <w:t>P66</w:t>
      </w:r>
      <w:r>
        <w:t>。选项A描述的“交易量和交易频率不规律或不一致，与交易对手的历史交易行为不符”直接吻合教材对异常交易模式的界定——当交易行为偏离历史模式，频率、金额出现异常，正是需要关注的警示信号。选项C描述的“现金存款或其他交易持续低于相关报告门槛”对应教材中</w:t>
      </w:r>
      <w:r>
        <w:rPr>
          <w:b/>
        </w:rPr>
        <w:t>“structuring（拆分交易）”</w:t>
      </w:r>
      <w:r>
        <w:t>的概念：若报告阈值为1万美元，客户反复存入9900美元即为拆分</w:t>
      </w:r>
      <w:r>
        <w:rPr>
          <w:sz w:val="15"/>
          <w:vertAlign w:val="superscript"/>
        </w:rPr>
        <w:t>P445</w:t>
      </w:r>
      <w:r>
        <w:t>。这种刻意规避报告门槛的行为在贸易洗钱场景中是重要的风险指标，洗钱者可能通过多笔小额交易转移非法资金。选项D描述的“从事不符合标准商业惯例的交易、运输路线或运输方式”吻合教材中“不经济或不合理的交易策略”——合理的商业主体通常遵循成本最低、效率最高的路线和方式，偏离这一原则即构成警示。三项均直接指向教材对TBML风险指标的定义框架。</w:t>
      </w:r>
    </w:p>
    <w:p>
      <w:pPr>
        <w:spacing w:before="120" w:after="40"/>
      </w:pPr>
      <w:r>
        <w:rPr>
          <w:b/>
          <w:sz w:val="21"/>
          <w:shd w:fill="D6E4F0" w:val="clear"/>
        </w:rPr>
        <w:t>B项错误：</w:t>
      </w:r>
    </w:p>
    <w:p>
      <w:pPr>
        <w:spacing w:line="360" w:lineRule="auto" w:after="40"/>
        <w:ind w:firstLine="420"/>
      </w:pPr>
      <w:r>
        <w:t>合同、发票等贸易单据中包含商品的详细描述，这是正常商业交易的基本特征，而非洗钱风险指标。教材在丹麦银行案中提到洗钱者使用“虚假合同和发票等伪造文件”为交易提供合法性</w:t>
      </w:r>
      <w:r>
        <w:rPr>
          <w:sz w:val="15"/>
          <w:vertAlign w:val="superscript"/>
        </w:rPr>
        <w:t>P56</w:t>
      </w:r>
      <w:r>
        <w:t>，但风险信号在于文件的虚假性，而不是文件中是否包含详细描述。题干询问的是“风险指标”，正常的单据细节不构成警示。</w:t>
      </w:r>
    </w:p>
    <w:p>
      <w:pPr>
        <w:spacing w:before="120" w:after="40"/>
      </w:pPr>
      <w:r>
        <w:rPr>
          <w:b/>
          <w:sz w:val="21"/>
          <w:shd w:fill="D6E4F0" w:val="clear"/>
        </w:rPr>
        <w:t>E项错误：</w:t>
      </w:r>
    </w:p>
    <w:p>
      <w:pPr>
        <w:spacing w:line="360" w:lineRule="auto" w:after="40"/>
        <w:ind w:firstLine="420"/>
      </w:pPr>
      <w:r>
        <w:t>“透明的定价结构”“价格波动超过10%时提供额外信息”描述的是合规操作，展现透明度与主动披露，这与洗钱风险指标的方向相反。教材在贸易洗钱相关章节关注的是价格操纵（如低开发票）等隐蔽手段</w:t>
      </w:r>
      <w:r>
        <w:rPr>
          <w:sz w:val="15"/>
          <w:vertAlign w:val="superscript"/>
        </w:rPr>
        <w:t>P131</w:t>
      </w:r>
      <w:r>
        <w:t>，而非自愿披露定价波动的透明行为。题干条件更直接匹配那些揭示异常或规避行为的指标，而非合规操作的证据。</w:t>
      </w:r>
    </w:p>
    <w:p>
      <w:pPr>
        <w:spacing w:before="120" w:after="40"/>
      </w:pPr>
      <w:r>
        <w:rPr>
          <w:b/>
          <w:sz w:val="21"/>
          <w:shd w:fill="D6E4F0" w:val="clear"/>
        </w:rPr>
        <w:t>易错提醒：</w:t>
      </w:r>
    </w:p>
    <w:p>
      <w:pPr>
        <w:spacing w:line="360" w:lineRule="auto" w:after="40"/>
        <w:ind w:firstLine="420"/>
      </w:pPr>
      <w:r>
        <w:t>风险指标是</w:t>
      </w:r>
      <w:r>
        <w:rPr>
          <w:b/>
        </w:rPr>
        <w:t>“异常”或“不合规”的信号</w:t>
      </w:r>
      <w:r>
        <w:t>，而非正常商业行为。选项B（详细描述商品的单据）和选项E（透明的定价结构）本身是合规交易的表现，学生易将其与“单据造假”“价格操纵”等洗钱手法混淆。区分标准：风险指标反映偏离常态的交易特征，正常单据细节或透明操作不属于此范畴。</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