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In which of the following situations would it be most crucial for the designated AML compliance officer of a company to perform a complete review of the company's AML program, including identifying the risks and commensurate controls?</w:t>
      </w:r>
    </w:p>
    <w:p>
      <w:pPr>
        <w:spacing w:line="360" w:lineRule="auto" w:after="20"/>
        <w:ind w:firstLine="283"/>
      </w:pPr>
      <w:r>
        <w:t>A. An external audit highlights several deficiencies</w:t>
      </w:r>
    </w:p>
    <w:p>
      <w:pPr>
        <w:spacing w:line="360" w:lineRule="auto" w:after="20"/>
        <w:ind w:firstLine="283"/>
      </w:pPr>
      <w:r>
        <w:t>B. The company is merging with or acquiring another entity</w:t>
      </w:r>
    </w:p>
    <w:p>
      <w:pPr>
        <w:spacing w:line="360" w:lineRule="auto" w:after="20"/>
        <w:ind w:firstLine="283"/>
      </w:pPr>
      <w:r>
        <w:t>C. Extensive AML legislation is proposed by a legislative body in the company's jurisdiction</w:t>
      </w:r>
    </w:p>
    <w:p>
      <w:pPr>
        <w:spacing w:line="360" w:lineRule="auto" w:after="20"/>
        <w:ind w:firstLine="283"/>
      </w:pPr>
      <w:r>
        <w:t>D. A high-profile money laundering case involving another industry is publicized</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识别触发反洗钱计划全面审查的关键事件类型</w:t>
      </w:r>
    </w:p>
    <w:p>
      <w:pPr>
        <w:spacing w:before="120" w:after="40"/>
      </w:pPr>
      <w:r>
        <w:rPr>
          <w:b/>
          <w:sz w:val="21"/>
          <w:shd w:fill="D6E4F0" w:val="clear"/>
        </w:rPr>
        <w:t>核心解析：</w:t>
      </w:r>
    </w:p>
    <w:p>
      <w:pPr>
        <w:spacing w:line="360" w:lineRule="auto" w:after="40"/>
        <w:ind w:firstLine="420"/>
      </w:pPr>
      <w:r>
        <w:t>反洗钱计划需与机构自身的风险状况相匹配。当机构的业务结构、风险敞口发生根本性变化时，原有的风险识别和控制措施可能不再适用，必须进行全面审查。</w:t>
      </w:r>
      <w:r>
        <w:rPr>
          <w:b/>
        </w:rPr>
        <w:t>合并或收购另一实体</w:t>
      </w:r>
      <w:r>
        <w:t>（选项B）正属于这种情况：教材指出，合并可能导致机构风险偏好发生变化，纳入更高风险的活动</w:t>
      </w:r>
      <w:r>
        <w:rPr>
          <w:sz w:val="15"/>
          <w:vertAlign w:val="superscript"/>
        </w:rPr>
        <w:t>P271</w:t>
      </w:r>
      <w:r>
        <w:t>；并购交易本身涉及复杂的资金流动和所有权结构，洗钱风险较高</w:t>
      </w:r>
      <w:r>
        <w:rPr>
          <w:sz w:val="15"/>
          <w:vertAlign w:val="superscript"/>
        </w:rPr>
        <w:t>P80</w:t>
      </w:r>
      <w:r>
        <w:t>，且需对被收购公司进行法律与合规审查</w:t>
      </w:r>
      <w:r>
        <w:rPr>
          <w:sz w:val="15"/>
          <w:vertAlign w:val="superscript"/>
        </w:rPr>
        <w:t>P81</w:t>
      </w:r>
      <w:r>
        <w:t>。题干中该公司正处于与另一实体合并或收购的阶段，这一事件将直接改变其客户、业务、地域等固有风险要素，因此最有必要对反洗钱计划进行全面审查，重新评估风险及相应控制。</w:t>
      </w:r>
    </w:p>
    <w:p>
      <w:pPr>
        <w:spacing w:before="120" w:after="40"/>
      </w:pPr>
      <w:r>
        <w:rPr>
          <w:b/>
          <w:sz w:val="21"/>
          <w:shd w:fill="D6E4F0" w:val="clear"/>
        </w:rPr>
        <w:t>A项错误：</w:t>
      </w:r>
    </w:p>
    <w:p>
      <w:pPr>
        <w:spacing w:line="360" w:lineRule="auto" w:after="40"/>
        <w:ind w:firstLine="420"/>
      </w:pPr>
      <w:r>
        <w:t>外部审计发现不足之处，通常触发的是对特定缺陷的纠正或改进，而非必然引发对整个计划的“全面审查”。教材将审计（第三道防线）定位为对控制环境有效性的客观评估</w:t>
      </w:r>
      <w:r>
        <w:rPr>
          <w:sz w:val="15"/>
          <w:vertAlign w:val="superscript"/>
        </w:rPr>
        <w:t>P257</w:t>
      </w:r>
      <w:r>
        <w:t>，其发现的问题为董事会确保及时解决缺陷提供了方向</w:t>
      </w:r>
      <w:r>
        <w:rPr>
          <w:sz w:val="15"/>
          <w:vertAlign w:val="superscript"/>
        </w:rPr>
        <w:t>P260</w:t>
      </w:r>
      <w:r>
        <w:t>，但这与因机构根本性变化而驱动的全面再评估在触发原因和审查广度上存在差异。</w:t>
      </w:r>
    </w:p>
    <w:p>
      <w:pPr>
        <w:spacing w:before="120" w:after="40"/>
      </w:pPr>
      <w:r>
        <w:rPr>
          <w:b/>
          <w:sz w:val="21"/>
          <w:shd w:fill="D6E4F0" w:val="clear"/>
        </w:rPr>
        <w:t>C项错误：</w:t>
      </w:r>
    </w:p>
    <w:p>
      <w:pPr>
        <w:spacing w:line="360" w:lineRule="auto" w:after="40"/>
        <w:ind w:firstLine="420"/>
      </w:pPr>
      <w:r>
        <w:t>立法机构“提议”制定广泛的反洗钱立法，法案尚未生效，内容也未确定，监管要求尚未改变。相较之下，合并收购是已经发生或正在进行的、会即刻改变机构风险状况的事件，比一项未来可能变化的立法提议更需要立即启动全面审查。</w:t>
      </w:r>
    </w:p>
    <w:p>
      <w:pPr>
        <w:spacing w:before="120" w:after="40"/>
      </w:pPr>
      <w:r>
        <w:rPr>
          <w:b/>
          <w:sz w:val="21"/>
          <w:shd w:fill="D6E4F0" w:val="clear"/>
        </w:rPr>
        <w:t>D项错误：</w:t>
      </w:r>
    </w:p>
    <w:p>
      <w:pPr>
        <w:spacing w:line="360" w:lineRule="auto" w:after="40"/>
        <w:ind w:firstLine="420"/>
      </w:pPr>
      <w:r>
        <w:t>了解其他行业的洗钱案件虽有助于洞察合规计划的常见缺陷</w:t>
      </w:r>
      <w:r>
        <w:rPr>
          <w:sz w:val="15"/>
          <w:vertAlign w:val="superscript"/>
        </w:rPr>
        <w:t>P51</w:t>
      </w:r>
      <w:r>
        <w:t>，但这属于行业动态监测与经验借鉴的范畴，它为审视自身计划提供了外部参考，但其对机构自身风险状况的改变程度，不如一次正在进行的实质性的公司合并来得直接和根本。</w:t>
      </w:r>
    </w:p>
    <w:p>
      <w:pPr>
        <w:spacing w:before="120" w:after="40"/>
      </w:pPr>
      <w:r>
        <w:rPr>
          <w:b/>
          <w:sz w:val="21"/>
          <w:shd w:fill="D6E4F0" w:val="clear"/>
        </w:rPr>
        <w:t>易错提醒：</w:t>
      </w:r>
    </w:p>
    <w:p>
      <w:pPr>
        <w:spacing w:line="360" w:lineRule="auto" w:after="40"/>
        <w:ind w:firstLine="420"/>
      </w:pPr>
      <w:r>
        <w:t>解题的关键是区分“触发全面审查”与“触发改进/关注”的动因层级。合并收购直接、根本性地改变了机构的固有风险边界和业务模式，因此要求对反洗钱计划进行全面重估。而外部审计发现问题、立法动向、行业负面案件，通常触发的是对现有计划的局部修正、政策追加或风险关注，其影响的深度和广度不完全等同于一次全面审查。</w:t>
      </w:r>
    </w:p>
    <w:p>
      <w:pPr>
        <w:spacing w:line="360" w:lineRule="auto" w:after="120"/>
      </w:pPr>
      <w:r/>
    </w:p>
    <w:p>
      <w:pPr>
        <w:spacing w:line="360" w:lineRule="auto" w:after="40"/>
      </w:pPr>
      <w:r>
        <w:t>2. A compliance officer at a European bank is investigating an account opened by the bank for a customer during the last two years. According to bank records, the company's primary economic activity is the import and export of petrochemical products. Over a period of one year, the account transactions have exceeded US$500 million, with various high-value inward wire transfers received from suppliers in Yemen followed by outward wire transfers to counterparties in Azerbaijan. Which factor should give the compliance officer the greatest concern if observed in the investigation?</w:t>
      </w:r>
    </w:p>
    <w:p>
      <w:pPr>
        <w:spacing w:line="360" w:lineRule="auto" w:after="20"/>
        <w:ind w:firstLine="283"/>
      </w:pPr>
      <w:r>
        <w:t>A. Media searches reveal a report that the customer was accused of misconduct three years ago</w:t>
      </w:r>
    </w:p>
    <w:p>
      <w:pPr>
        <w:spacing w:line="360" w:lineRule="auto" w:after="20"/>
        <w:ind w:firstLine="283"/>
      </w:pPr>
      <w:r>
        <w:t>B. The EU bank considers the origin and destination countries involved in the transactions to be high-risk</w:t>
      </w:r>
    </w:p>
    <w:p>
      <w:pPr>
        <w:spacing w:line="360" w:lineRule="auto" w:after="20"/>
        <w:ind w:firstLine="283"/>
      </w:pPr>
      <w:r>
        <w:t>C. The customer's activity includes multiple cross-border transactions involving various counterparties</w:t>
      </w:r>
    </w:p>
    <w:p>
      <w:pPr>
        <w:spacing w:line="360" w:lineRule="auto" w:after="20"/>
        <w:ind w:firstLine="283"/>
      </w:pPr>
      <w:r>
        <w:t>D. The EU bank did not receive originator or beneficiary information for the wire transfers</w:t>
      </w:r>
    </w:p>
    <w:p>
      <w:pPr>
        <w:spacing w:line="360" w:lineRule="auto" w:after="20"/>
        <w:ind w:firstLine="283"/>
      </w:pPr>
      <w:r>
        <w:t>E. The customer specializes in the import and export of petrochemical products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识别电汇主体信息缺失这一直接风险，并区分具体交易红旗与一般司法管辖区风险</w:t>
      </w:r>
    </w:p>
    <w:p>
      <w:pPr>
        <w:spacing w:before="120" w:after="40"/>
      </w:pPr>
      <w:r>
        <w:rPr>
          <w:b/>
          <w:sz w:val="21"/>
          <w:shd w:fill="D6E4F0" w:val="clear"/>
        </w:rPr>
        <w:t>核心解析：</w:t>
      </w:r>
    </w:p>
    <w:p>
      <w:pPr>
        <w:spacing w:line="360" w:lineRule="auto" w:after="40"/>
        <w:ind w:firstLine="420"/>
      </w:pPr>
      <w:r>
        <w:t>教材将隐瞒电汇信息，例如</w:t>
      </w:r>
      <w:r>
        <w:rPr>
          <w:b/>
        </w:rPr>
        <w:t>未提供充分的受益人信息</w:t>
      </w:r>
      <w:r>
        <w:t>，明确列为电汇风险指标</w:t>
      </w:r>
      <w:r>
        <w:rPr>
          <w:sz w:val="15"/>
          <w:vertAlign w:val="superscript"/>
        </w:rPr>
        <w:t>P79</w:t>
      </w:r>
      <w:r>
        <w:t>。FATF建议还要求金融机构确保电汇中的发起人和受益人数据准确</w:t>
      </w:r>
      <w:r>
        <w:rPr>
          <w:sz w:val="15"/>
          <w:vertAlign w:val="superscript"/>
        </w:rPr>
        <w:t>P148</w:t>
      </w:r>
      <w:r>
        <w:t>。选项D中，银行没有收到电汇的发起人或受益人信息，直接对应教材列明的信息隐瞒风险，也意味着银行无法落实上述电汇数据要求，因此是调查中最应关注的因素。</w:t>
      </w:r>
    </w:p>
    <w:p>
      <w:pPr>
        <w:spacing w:line="360" w:lineRule="auto" w:after="40"/>
        <w:ind w:firstLine="420"/>
      </w:pPr>
      <w:r>
        <w:t>选项B涉及高风险司法管辖区，同样会提高客户和交易风险。教材将司法管辖区列为客户风险评估需要考虑的因素</w:t>
      </w:r>
      <w:r>
        <w:rPr>
          <w:sz w:val="15"/>
          <w:vertAlign w:val="superscript"/>
        </w:rPr>
        <w:t>P307</w:t>
      </w:r>
      <w:r>
        <w:t>，但这属于一般风险背景；D反映的是本批电汇已经出现关键主体信息缺失。题目要求选择“the greatest concern”，因此D比B更直接，不能将B、D并列选择。</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A项错误：</w:t>
      </w:r>
    </w:p>
    <w:p>
      <w:pPr>
        <w:spacing w:line="360" w:lineRule="auto" w:after="40"/>
        <w:ind w:firstLine="420"/>
      </w:pPr>
      <w:r>
        <w:t>负面媒体指控值得进一步核查，但题干没有说明被指控行为的性质、信息可信度或最终处理结果。相比之下，D已经显示当前电汇的关键主体信息缺失，因此A不是最大关注因素。</w:t>
      </w:r>
    </w:p>
    <w:p>
      <w:pPr>
        <w:spacing w:before="120" w:after="40"/>
      </w:pPr>
      <w:r>
        <w:rPr>
          <w:b/>
          <w:sz w:val="21"/>
          <w:shd w:fill="D6E4F0" w:val="clear"/>
        </w:rPr>
        <w:t>B项错误：</w:t>
      </w:r>
    </w:p>
    <w:p>
      <w:pPr>
        <w:spacing w:line="360" w:lineRule="auto" w:after="40"/>
        <w:ind w:firstLine="420"/>
      </w:pPr>
      <w:r>
        <w:t>教材要求客户风险评估考虑高风险司法管辖区</w:t>
      </w:r>
      <w:r>
        <w:rPr>
          <w:sz w:val="15"/>
          <w:vertAlign w:val="superscript"/>
        </w:rPr>
        <w:t>P307</w:t>
      </w:r>
      <w:r>
        <w:t>，所以B确实是风险因素，可能提高客户风险评级并要求进一步审查。但B仅反映地理风险，D则直接命中电汇信息隐瞒红旗及发起人、受益人数据要求，因此D的关注优先级更高。</w:t>
      </w:r>
    </w:p>
    <w:p>
      <w:pPr>
        <w:spacing w:before="120" w:after="40"/>
      </w:pPr>
      <w:r>
        <w:rPr>
          <w:b/>
          <w:sz w:val="21"/>
          <w:shd w:fill="D6E4F0" w:val="clear"/>
        </w:rPr>
        <w:t>C项错误：</w:t>
      </w:r>
    </w:p>
    <w:p>
      <w:pPr>
        <w:spacing w:line="360" w:lineRule="auto" w:after="40"/>
        <w:ind w:firstLine="420"/>
      </w:pPr>
      <w:r>
        <w:t>该客户从事石化产品进出口，多笔跨境交易及多个交易对手可能与其业务模式相符。题干没有说明交易规模偏离客户画像、交易对手异常或缺乏经济目的，因此C单独不足以成为最大关注因素。</w:t>
      </w:r>
    </w:p>
    <w:p>
      <w:pPr>
        <w:spacing w:before="120" w:after="40"/>
      </w:pPr>
      <w:r>
        <w:rPr>
          <w:b/>
          <w:sz w:val="21"/>
          <w:shd w:fill="D6E4F0" w:val="clear"/>
        </w:rPr>
        <w:t>E项错误：</w:t>
      </w:r>
    </w:p>
    <w:p>
      <w:pPr>
        <w:spacing w:line="360" w:lineRule="auto" w:after="40"/>
        <w:ind w:firstLine="420"/>
      </w:pPr>
      <w:r>
        <w:t>从事石化产品进出口只是客户的主营业务。题干没有提供异常定价、虚假单据、货物流与资金流不匹配等贸易洗钱迹象，因此不能仅凭业务类型判断其比D更可疑。</w:t>
      </w:r>
    </w:p>
    <w:p>
      <w:pPr>
        <w:spacing w:before="120" w:after="40"/>
      </w:pPr>
      <w:r>
        <w:rPr>
          <w:b/>
          <w:sz w:val="21"/>
          <w:shd w:fill="D6E4F0" w:val="clear"/>
        </w:rPr>
        <w:t>易错提醒：</w:t>
      </w:r>
    </w:p>
    <w:p>
      <w:pPr>
        <w:spacing w:line="360" w:lineRule="auto" w:after="40"/>
        <w:ind w:firstLine="420"/>
      </w:pPr>
      <w:r>
        <w:t>“涉及高风险国家”不等于“必然是最严重的异常”。本题需要比较一般风险因素与具体交易红旗：B提高风险评级，D则表明电汇的发起人或受益人信息已经缺失，直接影响交易透明度，因此应选D。</w:t>
      </w:r>
    </w:p>
    <w:p>
      <w:pPr>
        <w:spacing w:line="360" w:lineRule="auto" w:after="120"/>
      </w:pPr>
      <w:r/>
    </w:p>
    <w:p>
      <w:pPr>
        <w:spacing w:line="360" w:lineRule="auto" w:after="40"/>
      </w:pPr>
      <w:r>
        <w:t>3. Correspondent banking is considered a high-risk area because correspondent banking transactions:</w:t>
      </w:r>
    </w:p>
    <w:p>
      <w:pPr>
        <w:spacing w:line="360" w:lineRule="auto" w:after="20"/>
        <w:ind w:firstLine="283"/>
      </w:pPr>
      <w:r>
        <w:t>A. Are made primarily to and from high-risk jurisdictions</w:t>
      </w:r>
    </w:p>
    <w:p>
      <w:pPr>
        <w:spacing w:line="360" w:lineRule="auto" w:after="20"/>
        <w:ind w:firstLine="283"/>
      </w:pPr>
      <w:r>
        <w:t>B. Can be made anonymously and without beneficial ownership information</w:t>
      </w:r>
    </w:p>
    <w:p>
      <w:pPr>
        <w:spacing w:line="360" w:lineRule="auto" w:after="20"/>
        <w:ind w:firstLine="283"/>
      </w:pPr>
      <w:r>
        <w:t>C. Typically include less information than domestic payments</w:t>
      </w:r>
    </w:p>
    <w:p>
      <w:pPr>
        <w:spacing w:line="360" w:lineRule="auto" w:after="20"/>
        <w:ind w:firstLine="283"/>
      </w:pPr>
      <w:r>
        <w:t>D. Are made cross-border and on behalf of third parties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代理行关系的典型跨境性、间接服务及终端客户风险</w:t>
      </w:r>
    </w:p>
    <w:p>
      <w:pPr>
        <w:spacing w:before="120" w:after="40"/>
      </w:pPr>
      <w:r>
        <w:rPr>
          <w:b/>
          <w:sz w:val="21"/>
          <w:shd w:fill="D6E4F0" w:val="clear"/>
        </w:rPr>
        <w:t>核心解析：</w:t>
      </w:r>
    </w:p>
    <w:p>
      <w:pPr>
        <w:spacing w:line="360" w:lineRule="auto" w:after="40"/>
        <w:ind w:firstLine="420"/>
      </w:pPr>
      <w:r>
        <w:t>教材将代理行关系描述为：一家银行通常在外国作为另一家银行的代理，本地银行可借助这种关系，在自身没有实体存在的司法管辖区为自己及其客户办理国际金融交易</w:t>
      </w:r>
      <w:r>
        <w:rPr>
          <w:sz w:val="15"/>
          <w:vertAlign w:val="superscript"/>
        </w:rPr>
        <w:t>P83</w:t>
      </w:r>
      <w:r>
        <w:t>。这里的“代表第三方”主要指代理行</w:t>
      </w:r>
      <w:r>
        <w:rPr>
          <w:b/>
        </w:rPr>
        <w:t>通过委托行间接服务委托行的终端客户</w:t>
      </w:r>
      <w:r>
        <w:t>，而不是指交易可以匿名或无需识别相关主体。</w:t>
      </w:r>
    </w:p>
    <w:p>
      <w:pPr>
        <w:spacing w:line="360" w:lineRule="auto" w:after="40"/>
        <w:ind w:firstLine="420"/>
      </w:pPr>
      <w:r>
        <w:t>代理行关系风险较高的关键在于这种间接性：代理行通常没有核实委托行终端客户的身份，也没有关于这些客户的第一手资料，并且可能无法对终端客户开展通常的尽职调查</w:t>
      </w:r>
      <w:r>
        <w:rPr>
          <w:sz w:val="15"/>
          <w:vertAlign w:val="superscript"/>
        </w:rPr>
        <w:t>P83</w:t>
      </w:r>
      <w:r>
        <w:t>。因此，在本题所指的典型场景中，跨境交易与代表委托行客户办理业务共同造成了距离较远、信息不足和客户控制依赖等风险，D是四项中最符合教材的选项。不过，教材也明确承认存在非外国代理行关系，所以D应理解为考试所概括的典型风险场景，不能扩展为所有代理行关系都必然跨境。</w:t>
      </w:r>
    </w:p>
    <w:p>
      <w:pPr>
        <w:spacing w:before="120" w:after="40"/>
      </w:pPr>
      <w:r>
        <w:rPr>
          <w:b/>
          <w:sz w:val="21"/>
          <w:shd w:fill="D6E4F0" w:val="clear"/>
        </w:rPr>
        <w:t>教材原句：</w:t>
      </w:r>
    </w:p>
    <w:p>
      <w:pPr>
        <w:spacing w:line="360" w:lineRule="auto" w:after="40"/>
        <w:ind w:firstLine="420"/>
      </w:pPr>
      <w:r>
        <w:t>"Correspondent banking is typically when one bank acts as the agent of another bank in a foreign country."；"By establishing multiple correspondent relationships, a local bank can undertake international financial transactions for themselves and for their customers in jurisdictions where they have no physical presence."</w:t>
      </w:r>
    </w:p>
    <w:p>
      <w:pPr>
        <w:spacing w:before="120" w:after="40"/>
      </w:pPr>
      <w:r>
        <w:rPr>
          <w:b/>
          <w:sz w:val="21"/>
          <w:shd w:fill="D6E4F0" w:val="clear"/>
        </w:rPr>
        <w:t>A项错误：</w:t>
      </w:r>
    </w:p>
    <w:p>
      <w:pPr>
        <w:spacing w:line="360" w:lineRule="auto" w:after="40"/>
        <w:ind w:firstLine="420"/>
      </w:pPr>
      <w:r>
        <w:t>高风险司法管辖区只是代理行面临的潜在风险因素之一，并非代理行交易本身的构成特征。教材对代理行高风险的直接解释是间接关系和代表第三方处理交易，而非交易主要发生在高风险司法管辖区，因此D更直接匹配题干所问的“因为代理银行交易……”。</w:t>
      </w:r>
    </w:p>
    <w:p>
      <w:pPr>
        <w:spacing w:before="120" w:after="40"/>
      </w:pPr>
      <w:r>
        <w:rPr>
          <w:b/>
          <w:sz w:val="21"/>
          <w:shd w:fill="D6E4F0" w:val="clear"/>
        </w:rPr>
        <w:t>B项错误：</w:t>
      </w:r>
    </w:p>
    <w:p>
      <w:pPr>
        <w:spacing w:line="360" w:lineRule="auto" w:after="40"/>
        <w:ind w:firstLine="420"/>
      </w:pPr>
      <w:r>
        <w:t>教材说代理行没有直接核实或直接了解委托行的终端客户，并可能无法对这些客户开展通常的尽职调查</w:t>
      </w:r>
      <w:r>
        <w:rPr>
          <w:sz w:val="15"/>
          <w:vertAlign w:val="superscript"/>
        </w:rPr>
        <w:t>P83</w:t>
      </w:r>
      <w:r>
        <w:t>。这说明代理行依赖委托行的客户控制，并不意味着交易制度上允许匿名，或可以不提供受益所有权信息。B把“代理行缺少第一手客户资料”扩大成了“无需识别相关主体”。</w:t>
      </w:r>
    </w:p>
    <w:p>
      <w:pPr>
        <w:spacing w:before="120" w:after="40"/>
      </w:pPr>
      <w:r>
        <w:rPr>
          <w:b/>
          <w:sz w:val="21"/>
          <w:shd w:fill="D6E4F0" w:val="clear"/>
        </w:rPr>
        <w:t>C项错误：</w:t>
      </w:r>
    </w:p>
    <w:p>
      <w:pPr>
        <w:spacing w:line="360" w:lineRule="auto" w:after="40"/>
        <w:ind w:firstLine="420"/>
      </w:pPr>
      <w:r>
        <w:t>教材指出代理行可能缺少委托行的交易数据，导致交易监控难以识别异常模式</w:t>
      </w:r>
      <w:r>
        <w:rPr>
          <w:sz w:val="15"/>
          <w:vertAlign w:val="superscript"/>
        </w:rPr>
        <w:t>P84</w:t>
      </w:r>
      <w:r>
        <w:t>；它没有比较代理行支付与国内支付各自包含的信息量，更没有说代理行交易通常包含更少信息。C把“代理行未掌握委托行数据”改写成了“单笔支付信息较少”。</w:t>
      </w:r>
    </w:p>
    <w:p>
      <w:pPr>
        <w:spacing w:before="120" w:after="40"/>
      </w:pPr>
      <w:r>
        <w:rPr>
          <w:b/>
          <w:sz w:val="21"/>
          <w:shd w:fill="D6E4F0" w:val="clear"/>
        </w:rPr>
        <w:t>易错提醒：</w:t>
      </w:r>
    </w:p>
    <w:p>
      <w:pPr>
        <w:spacing w:line="360" w:lineRule="auto" w:after="40"/>
        <w:ind w:firstLine="420"/>
      </w:pPr>
      <w:r>
        <w:t>教材使用的是“通常”（typically），并且明确说明也存在非外国代理行关系。因此，跨境是代理行业务的典型场景，不是无例外的定义。“代表第三方”则是指代理行可能间接服务委托行的客户，由此产生终端客户尽调、交易数据和控制依赖方面的风险，不等于交易可以匿名进行。</w:t>
      </w:r>
    </w:p>
    <w:p>
      <w:pPr>
        <w:spacing w:line="360" w:lineRule="auto" w:after="120"/>
      </w:pPr>
      <w:r/>
    </w:p>
    <w:p>
      <w:pPr>
        <w:spacing w:line="360" w:lineRule="auto" w:after="40"/>
      </w:pPr>
      <w:r>
        <w:t>4. Unusual wire transfer transactions can include: (Choose two.)</w:t>
      </w:r>
    </w:p>
    <w:p>
      <w:pPr>
        <w:spacing w:line="360" w:lineRule="auto" w:after="20"/>
        <w:ind w:firstLine="283"/>
      </w:pPr>
      <w:r>
        <w:t>A. Wire transfers in different currencies between accounts held at different banks for the same client.</w:t>
      </w:r>
    </w:p>
    <w:p>
      <w:pPr>
        <w:spacing w:line="360" w:lineRule="auto" w:after="20"/>
        <w:ind w:firstLine="283"/>
      </w:pPr>
      <w:r>
        <w:t>B. An incoming third-party wire transfer followed by the purchase of real estate in the client's name.</w:t>
      </w:r>
    </w:p>
    <w:p>
      <w:pPr>
        <w:spacing w:line="360" w:lineRule="auto" w:after="20"/>
        <w:ind w:firstLine="283"/>
      </w:pPr>
      <w:r>
        <w:t>C. An incoming wire transfer followed by the loan payment to a third party that is a business associate of the client.</w:t>
      </w:r>
    </w:p>
    <w:p>
      <w:pPr>
        <w:spacing w:line="360" w:lineRule="auto" w:after="20"/>
        <w:ind w:firstLine="283"/>
      </w:pPr>
      <w:r>
        <w:t>D. Multiple wire transfers sent to counterparties associated with the client as per KYC documentation.</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识别异常电汇模式及后续资金流向风险</w:t>
      </w:r>
    </w:p>
    <w:p>
      <w:pPr>
        <w:spacing w:before="120" w:after="40"/>
      </w:pPr>
      <w:r>
        <w:rPr>
          <w:b/>
          <w:sz w:val="21"/>
          <w:shd w:fill="D6E4F0" w:val="clear"/>
        </w:rPr>
        <w:t>核心解析：</w:t>
      </w:r>
    </w:p>
    <w:p>
      <w:pPr>
        <w:spacing w:line="360" w:lineRule="auto" w:after="40"/>
        <w:ind w:firstLine="420"/>
      </w:pPr>
      <w:r>
        <w:t>教材指出，异常电汇活动包括涉及复杂交易路径、异常交易数量或金额等情形</w:t>
      </w:r>
      <w:r>
        <w:rPr>
          <w:sz w:val="15"/>
          <w:vertAlign w:val="superscript"/>
        </w:rPr>
        <w:t>P79</w:t>
      </w:r>
      <w:r>
        <w:t>。同时，房地产行业因高价值资产和交易属性，天生容易被用于洗钱，使非法资金融入合法经济</w:t>
      </w:r>
      <w:r>
        <w:rPr>
          <w:sz w:val="15"/>
          <w:vertAlign w:val="superscript"/>
        </w:rPr>
        <w:t>P121</w:t>
      </w:r>
      <w:r>
        <w:t>。选项A中，同一客户用不同货币在不同银行账户间转移资金，人为增加了</w:t>
      </w:r>
      <w:r>
        <w:rPr>
          <w:b/>
        </w:rPr>
        <w:t>交易路径的复杂性</w:t>
      </w:r>
      <w:r>
        <w:t>，没有明晰的商业目的，直接吻合教材对异常电汇活动的描述。选项B中，由第三方汇入资金后立即以客户名义购买房地产，这种“第三方付款+购买高价值资产”的模式正是教材描述的典型洗钱手法，资金源头与资产受益人分离，将不明资金转为客户名下合法资产。由此可推断，A和B直接体现了教材界定的电汇及资产购置中的异常风险。</w:t>
      </w:r>
    </w:p>
    <w:p>
      <w:pPr>
        <w:spacing w:before="120" w:after="40"/>
      </w:pPr>
      <w:r>
        <w:rPr>
          <w:b/>
          <w:sz w:val="21"/>
          <w:shd w:fill="D6E4F0" w:val="clear"/>
        </w:rPr>
        <w:t>教材原句：</w:t>
      </w:r>
    </w:p>
    <w:p>
      <w:pPr>
        <w:spacing w:line="360" w:lineRule="auto" w:after="40"/>
        <w:ind w:firstLine="420"/>
      </w:pPr>
      <w:r>
        <w:t>"Unusual wire transfer activity including: Complex transaction paths."</w:t>
      </w:r>
      <w:r>
        <w:rPr>
          <w:sz w:val="15"/>
          <w:vertAlign w:val="superscript"/>
        </w:rPr>
        <w:t>P79</w:t>
      </w:r>
    </w:p>
    <w:p>
      <w:pPr>
        <w:spacing w:before="120" w:after="40"/>
      </w:pPr>
      <w:r>
        <w:rPr>
          <w:b/>
          <w:sz w:val="21"/>
          <w:shd w:fill="D6E4F0" w:val="clear"/>
        </w:rPr>
        <w:t>C项错误：</w:t>
      </w:r>
    </w:p>
    <w:p>
      <w:pPr>
        <w:spacing w:line="360" w:lineRule="auto" w:after="40"/>
        <w:ind w:firstLine="420"/>
      </w:pPr>
      <w:r>
        <w:t>教材在讨论贸易型洗钱风险时提到，第三方指令会增加资金追踪的复杂性。但题干C描述的是将汇入资金用于偿还对生意伙伴的贷款，这本身就有一个明确的、可理解的商业目的，相较于A和B中体现的无理由复杂性或匿名资产购置，其异常程度要低得多，更可能被视为一种常规的商业支付，而非不寻常的洗钱信号。</w:t>
      </w:r>
    </w:p>
    <w:p>
      <w:pPr>
        <w:spacing w:before="120" w:after="40"/>
      </w:pPr>
      <w:r>
        <w:rPr>
          <w:b/>
          <w:sz w:val="21"/>
          <w:shd w:fill="D6E4F0" w:val="clear"/>
        </w:rPr>
        <w:t>D项错误：</w:t>
      </w:r>
    </w:p>
    <w:p>
      <w:pPr>
        <w:spacing w:line="360" w:lineRule="auto" w:after="40"/>
        <w:ind w:firstLine="420"/>
      </w:pPr>
      <w:r>
        <w:t>教材将加强的客户尽职调查（CDD）和持续的交易监控列为检测和预防洗钱的核心手段</w:t>
      </w:r>
      <w:r>
        <w:rPr>
          <w:sz w:val="15"/>
          <w:vertAlign w:val="superscript"/>
        </w:rPr>
        <w:t>P57</w:t>
      </w:r>
      <w:r>
        <w:t>。选项D明确指出电汇对手信息是“依据客户尽职调查文件”的，这表明该交易模式与客户在开户时已披露、并被金融机构认可的已知风险画像相符。在已做好尽调的前提下，这种行为属于有合理解释的预期内活动，其异常程度不如A和B中出现的模式。</w:t>
      </w:r>
    </w:p>
    <w:p>
      <w:pPr>
        <w:spacing w:before="120" w:after="40"/>
      </w:pPr>
      <w:r>
        <w:rPr>
          <w:b/>
          <w:sz w:val="21"/>
          <w:shd w:fill="D6E4F0" w:val="clear"/>
        </w:rPr>
        <w:t>易错提醒：</w:t>
      </w:r>
    </w:p>
    <w:p>
      <w:pPr>
        <w:spacing w:line="360" w:lineRule="auto" w:after="40"/>
        <w:ind w:firstLine="420"/>
      </w:pPr>
      <w:r>
        <w:t>注意区分“与已知资料不符的异常”和“与已知资料符合的正常”。符合CDD文件的交易属于客户画像内的预期行为，不应判定为异常；而异常交易的特征恰恰在于它无法被现有CDD资料解释，如购买与收入不符的房产或在没有商业目的情况下通过不同货币/银行周游资金</w:t>
      </w:r>
      <w:r>
        <w:rPr>
          <w:sz w:val="15"/>
          <w:vertAlign w:val="superscript"/>
        </w:rPr>
        <w:t>P79</w:t>
      </w:r>
      <w:r>
        <w:t>。</w:t>
      </w:r>
    </w:p>
    <w:p>
      <w:pPr>
        <w:spacing w:line="360" w:lineRule="auto" w:after="120"/>
      </w:pPr>
      <w:r/>
    </w:p>
    <w:p>
      <w:pPr>
        <w:spacing w:line="360" w:lineRule="auto" w:after="40"/>
      </w:pPr>
      <w:r>
        <w:t>5. A bank organized under foreign law and located outside of the U.S. maintains a correspondent banking relationship with a U.S.-based bank to handle financial transactions in U.S. dollars for its clients. In compliance with the USA PATRIOT Act of 2001, all U.S. banks and broker-dealers in securities must obtain a signed certification from all non-U.S. foreign bank clients conducting business with them. What information does the USA PATRIOT Act of 2001 require the foreign bank to certify to the U.S. bank? (Select Three.)</w:t>
      </w:r>
    </w:p>
    <w:p>
      <w:pPr>
        <w:spacing w:line="360" w:lineRule="auto" w:after="20"/>
        <w:ind w:firstLine="283"/>
      </w:pPr>
      <w:r>
        <w:t>A. The foreign bank will not allow Politically Exposed Persons (PEPs) to indirectly use the correspondent bank accounts.</w:t>
      </w:r>
    </w:p>
    <w:p>
      <w:pPr>
        <w:spacing w:line="360" w:lineRule="auto" w:after="20"/>
        <w:ind w:firstLine="283"/>
      </w:pPr>
      <w:r>
        <w:t>B. The jurisdictions in which the foreign bank maintains a physical presence.</w:t>
      </w:r>
    </w:p>
    <w:p>
      <w:pPr>
        <w:spacing w:line="360" w:lineRule="auto" w:after="20"/>
        <w:ind w:firstLine="283"/>
      </w:pPr>
      <w:r>
        <w:t>C. The foreign bank's business will be limited to its country of incorporation.</w:t>
      </w:r>
    </w:p>
    <w:p>
      <w:pPr>
        <w:spacing w:line="360" w:lineRule="auto" w:after="20"/>
        <w:ind w:firstLine="283"/>
      </w:pPr>
      <w:r>
        <w:t>D. Details of the foreign bank's ownership.</w:t>
      </w:r>
    </w:p>
    <w:p>
      <w:pPr>
        <w:spacing w:line="360" w:lineRule="auto" w:after="20"/>
        <w:ind w:firstLine="283"/>
      </w:pPr>
      <w:r>
        <w:t>E. The foreign bank will not allow indirect use of the correspondent bank accounts by shell banks.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代理行客户的实体存在、所有权及空壳银行风险要求</w:t>
      </w:r>
    </w:p>
    <w:p>
      <w:pPr>
        <w:spacing w:before="120" w:after="40"/>
      </w:pPr>
      <w:r>
        <w:rPr>
          <w:b/>
          <w:sz w:val="21"/>
          <w:shd w:fill="D6E4F0" w:val="clear"/>
        </w:rPr>
        <w:t>核心解析：</w:t>
      </w:r>
    </w:p>
    <w:p>
      <w:pPr>
        <w:spacing w:line="360" w:lineRule="auto" w:after="40"/>
        <w:ind w:firstLine="420"/>
      </w:pPr>
      <w:r>
        <w:t>代理行尽职调查要确认外国金融机构的</w:t>
      </w:r>
      <w:r>
        <w:rPr>
          <w:b/>
        </w:rPr>
        <w:t>身份、经营范围和控制结构</w:t>
      </w:r>
      <w:r>
        <w:t>。教材说明，代理行关系可以让银行在没有实体存在的司法管辖区开展交易</w:t>
      </w:r>
      <w:r>
        <w:rPr>
          <w:sz w:val="15"/>
          <w:vertAlign w:val="superscript"/>
        </w:rPr>
        <w:t>P83</w:t>
      </w:r>
      <w:r>
        <w:t>，因此确认外国银行在哪些司法管辖区设有实体机构，有助于判断其真实经营范围和监管基础，B项与这一尽调维度匹配。教材还要求在建立代理行关系前了解委托行的所有者及其监管监督性质，所以D项的所有权详情属于应核实的信息</w:t>
      </w:r>
      <w:r>
        <w:rPr>
          <w:sz w:val="15"/>
          <w:vertAlign w:val="superscript"/>
        </w:rPr>
        <w:t>P83</w:t>
      </w:r>
      <w:r>
        <w:t>。对于E项，教材对《美国爱国者法案》第313条的概括是禁止与空壳银行建立关系；第312条同时要求对外国金融机构的代理账户实施强化尽职调查</w:t>
      </w:r>
      <w:r>
        <w:rPr>
          <w:sz w:val="15"/>
          <w:vertAlign w:val="superscript"/>
        </w:rPr>
        <w:t>P181</w:t>
      </w:r>
      <w:r>
        <w:t>。因此，在题干要求选择三项时，B、D、E分别对应实体存在、所有权和空壳银行禁令三个要求。</w:t>
      </w:r>
    </w:p>
    <w:p>
      <w:pPr>
        <w:spacing w:before="120" w:after="40"/>
      </w:pPr>
      <w:r>
        <w:rPr>
          <w:b/>
          <w:sz w:val="21"/>
          <w:shd w:fill="D6E4F0" w:val="clear"/>
        </w:rPr>
        <w:t>A项错误：</w:t>
      </w:r>
    </w:p>
    <w:p>
      <w:pPr>
        <w:spacing w:line="360" w:lineRule="auto" w:after="40"/>
        <w:ind w:firstLine="420"/>
      </w:pPr>
      <w:r>
        <w:t>教材确实讨论PEP识别和相关风险，但本题所引的代理行认证要求聚焦外国金融机构的实体存在、所有权及空壳银行关系</w:t>
      </w:r>
      <w:r>
        <w:rPr>
          <w:sz w:val="15"/>
          <w:vertAlign w:val="superscript"/>
        </w:rPr>
        <w:t>P83、P181</w:t>
      </w:r>
      <w:r>
        <w:t>。不能用一般PEP风险识别内容替代题干要求的代理行认证事项。</w:t>
      </w:r>
    </w:p>
    <w:p>
      <w:pPr>
        <w:spacing w:before="120" w:after="40"/>
      </w:pPr>
      <w:r>
        <w:rPr>
          <w:b/>
          <w:sz w:val="21"/>
          <w:shd w:fill="D6E4F0" w:val="clear"/>
        </w:rPr>
        <w:t>C项错误：</w:t>
      </w:r>
    </w:p>
    <w:p>
      <w:pPr>
        <w:spacing w:line="360" w:lineRule="auto" w:after="40"/>
        <w:ind w:firstLine="420"/>
      </w:pPr>
      <w:r>
        <w:t>教材将代理行描述为可使银行在没有实体存在的司法管辖区开展交易</w:t>
      </w:r>
      <w:r>
        <w:rPr>
          <w:sz w:val="15"/>
          <w:vertAlign w:val="superscript"/>
        </w:rPr>
        <w:t>P83</w:t>
      </w:r>
      <w:r>
        <w:t>，这与“业务仅限于注册所在国”相反；C把注册国家误作业务范围限制，超出了教材支持的结论。</w:t>
      </w:r>
    </w:p>
    <w:p>
      <w:pPr>
        <w:spacing w:before="120" w:after="40"/>
      </w:pPr>
      <w:r>
        <w:rPr>
          <w:b/>
          <w:sz w:val="21"/>
          <w:shd w:fill="D6E4F0" w:val="clear"/>
        </w:rPr>
        <w:t>易错提醒：</w:t>
      </w:r>
    </w:p>
    <w:p>
      <w:pPr>
        <w:spacing w:line="360" w:lineRule="auto" w:after="40"/>
        <w:ind w:firstLine="420"/>
      </w:pPr>
      <w:r>
        <w:t>“注册所在国”是机构身份信息，不等于业务只能在该国开展；代理行关系本身涉及跨境交易</w:t>
      </w:r>
      <w:r>
        <w:rPr>
          <w:sz w:val="15"/>
          <w:vertAlign w:val="superscript"/>
        </w:rPr>
        <w:t>P83</w:t>
      </w:r>
      <w:r>
        <w:t>。遇到空壳银行选项时，应区分一般PEP风险管理和《爱国者法案》第313条的明确禁令</w:t>
      </w:r>
      <w:r>
        <w:rPr>
          <w:sz w:val="15"/>
          <w:vertAlign w:val="superscript"/>
        </w:rPr>
        <w:t>P181</w:t>
      </w:r>
      <w:r>
        <w:t>。</w:t>
      </w:r>
    </w:p>
    <w:p>
      <w:pPr>
        <w:spacing w:line="360" w:lineRule="auto" w:after="120"/>
      </w:pPr>
      <w:r/>
    </w:p>
    <w:p>
      <w:pPr>
        <w:spacing w:line="360" w:lineRule="auto" w:after="40"/>
      </w:pPr>
      <w:r>
        <w:t>6. An international bank is investigating a payment requested by one of its correspondent relationships that generated an alert in the automated transaction monitoring system. The payment originated from a corporation located in Hong Kong and the final beneficiary is an individual located in New York. Which steps should the bank take first to address the alert? (Select three.)</w:t>
      </w:r>
    </w:p>
    <w:p>
      <w:pPr>
        <w:spacing w:line="360" w:lineRule="auto" w:after="20"/>
        <w:ind w:firstLine="283"/>
      </w:pPr>
      <w:r>
        <w:t>A. Send a 314(b) request to the corporation's bank in Hong Kong.</w:t>
      </w:r>
    </w:p>
    <w:p>
      <w:pPr>
        <w:spacing w:line="360" w:lineRule="auto" w:after="20"/>
        <w:ind w:firstLine="283"/>
      </w:pPr>
      <w:r>
        <w:t>B. Call the receiving individual to review identity verification documents.</w:t>
      </w:r>
    </w:p>
    <w:p>
      <w:pPr>
        <w:spacing w:line="360" w:lineRule="auto" w:after="20"/>
        <w:ind w:firstLine="283"/>
      </w:pPr>
      <w:r>
        <w:t>C. Confirm that neither the beneficiary nor the originator are sanctioned parties.</w:t>
      </w:r>
    </w:p>
    <w:p>
      <w:pPr>
        <w:spacing w:line="360" w:lineRule="auto" w:after="20"/>
        <w:ind w:firstLine="283"/>
      </w:pPr>
      <w:r>
        <w:t>D. Request relevant supporting documentation, including invoices and contracts, to confirm the purpose of the payment.</w:t>
      </w:r>
    </w:p>
    <w:p>
      <w:pPr>
        <w:spacing w:line="360" w:lineRule="auto" w:after="20"/>
        <w:ind w:firstLine="283"/>
      </w:pPr>
      <w:r>
        <w:t>E. Check adverse media on the sender and recipient through public sources.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电汇警报调查的优先步骤：制裁筛查、负面媒体审查、交易文件核实</w:t>
      </w:r>
    </w:p>
    <w:p>
      <w:pPr>
        <w:spacing w:before="120" w:after="40"/>
      </w:pPr>
      <w:r>
        <w:rPr>
          <w:b/>
          <w:sz w:val="21"/>
          <w:shd w:fill="D6E4F0" w:val="clear"/>
        </w:rPr>
        <w:t>核心解析：</w:t>
      </w:r>
    </w:p>
    <w:p>
      <w:pPr>
        <w:spacing w:line="360" w:lineRule="auto" w:after="40"/>
        <w:ind w:firstLine="420"/>
      </w:pPr>
      <w:r>
        <w:t>教材将</w:t>
      </w:r>
      <w:r>
        <w:rPr>
          <w:b/>
        </w:rPr>
        <w:t>一级警报审查</w:t>
      </w:r>
      <w:r>
        <w:t>定义为核验警报有效性的初始阶段；若进入调查，应评估资金来源和去向、收集额外记录，并开展包括新闻和公共记录在内的</w:t>
      </w:r>
      <w:r>
        <w:rPr>
          <w:b/>
        </w:rPr>
        <w:t>开源研究</w:t>
      </w:r>
      <w:r>
        <w:rPr>
          <w:sz w:val="15"/>
          <w:vertAlign w:val="superscript"/>
        </w:rPr>
        <w:t>P334</w:t>
      </w:r>
      <w:r>
        <w:t>。据此，银行首先应确认发起人和收款人均非受制裁方（C）</w:t>
      </w:r>
      <w:r>
        <w:rPr>
          <w:sz w:val="15"/>
          <w:vertAlign w:val="superscript"/>
        </w:rPr>
        <w:t>P78、P343</w:t>
      </w:r>
      <w:r>
        <w:t>，要求发票、合同等支持文件核实付款用途（D）</w:t>
      </w:r>
      <w:r>
        <w:rPr>
          <w:sz w:val="15"/>
          <w:vertAlign w:val="superscript"/>
        </w:rPr>
        <w:t>P334</w:t>
      </w:r>
      <w:r>
        <w:t>，并通过公开来源检查双方负面媒体（E）</w:t>
      </w:r>
      <w:r>
        <w:rPr>
          <w:sz w:val="15"/>
          <w:vertAlign w:val="superscript"/>
        </w:rPr>
        <w:t>P322、P334</w:t>
      </w:r>
      <w:r>
        <w:t>。这三项都属于先利用内部资料、交易文件和外部公开信息验证警报的动作。</w:t>
      </w:r>
    </w:p>
    <w:p>
      <w:pPr>
        <w:spacing w:before="120" w:after="40"/>
      </w:pPr>
      <w:r>
        <w:rPr>
          <w:b/>
          <w:sz w:val="21"/>
          <w:shd w:fill="D6E4F0" w:val="clear"/>
        </w:rPr>
        <w:t>A项错误：</w:t>
      </w:r>
    </w:p>
    <w:p>
      <w:pPr>
        <w:spacing w:line="360" w:lineRule="auto" w:after="40"/>
        <w:ind w:firstLine="420"/>
      </w:pPr>
      <w:r>
        <w:t>314(b)属于机构间信息共享机制，不是处理每一笔警报时当然优先于内部资料、支持文件和公开信息审查的第一步；且题干未说明香港银行属于可适用该机制的参与机构。</w:t>
      </w:r>
    </w:p>
    <w:p>
      <w:pPr>
        <w:spacing w:before="120" w:after="40"/>
      </w:pPr>
      <w:r>
        <w:rPr>
          <w:b/>
          <w:sz w:val="21"/>
          <w:shd w:fill="D6E4F0" w:val="clear"/>
        </w:rPr>
        <w:t>B项错误：</w:t>
      </w:r>
    </w:p>
    <w:p>
      <w:pPr>
        <w:spacing w:line="360" w:lineRule="auto" w:after="40"/>
        <w:ind w:firstLine="420"/>
      </w:pPr>
      <w:r>
        <w:t>题干关注的是付款警报，不是收款人的开户身份核验。直接联系收款人复核身份证件不能优先解释付款目的和交易背景。</w:t>
      </w:r>
    </w:p>
    <w:p>
      <w:pPr>
        <w:spacing w:before="120" w:after="40"/>
      </w:pPr>
      <w:r>
        <w:rPr>
          <w:b/>
          <w:sz w:val="21"/>
          <w:shd w:fill="D6E4F0" w:val="clear"/>
        </w:rPr>
        <w:t>易错提醒：</w:t>
      </w:r>
    </w:p>
    <w:p>
      <w:pPr>
        <w:spacing w:line="360" w:lineRule="auto" w:after="40"/>
        <w:ind w:firstLine="420"/>
      </w:pPr>
      <w:r>
        <w:t>题目问“首先”采取的步骤，应优先选择能直接验证交易主体、目的和风险背景的内部或非接触式调查措施</w:t>
      </w:r>
      <w:r>
        <w:rPr>
          <w:sz w:val="15"/>
          <w:vertAlign w:val="superscript"/>
        </w:rPr>
        <w:t>P322、P334、P343</w:t>
      </w:r>
      <w:r>
        <w:t>，而不是立即联系收款人或启动跨机构信息共享。</w:t>
      </w:r>
    </w:p>
    <w:p>
      <w:pPr>
        <w:spacing w:line="360" w:lineRule="auto" w:after="120"/>
      </w:pPr>
      <w:r/>
    </w:p>
    <w:p>
      <w:pPr>
        <w:spacing w:line="360" w:lineRule="auto" w:after="40"/>
      </w:pPr>
      <w:r>
        <w:t>7. Which activities would be considered money laundering red flags when reviewing the business operations of a money services business (MSB)? (Select two.)</w:t>
      </w:r>
    </w:p>
    <w:p>
      <w:pPr>
        <w:spacing w:line="360" w:lineRule="auto" w:after="20"/>
        <w:ind w:firstLine="283"/>
      </w:pPr>
      <w:r>
        <w:t>A. A customer being hesitant to provide beneficiary name or address information when sending international wire transfers.</w:t>
      </w:r>
    </w:p>
    <w:p>
      <w:pPr>
        <w:spacing w:line="360" w:lineRule="auto" w:after="20"/>
        <w:ind w:firstLine="283"/>
      </w:pPr>
      <w:r>
        <w:t>B. Cash-intensive businesses, such as convenience stores or restaurants, making large cash deposits.</w:t>
      </w:r>
    </w:p>
    <w:p>
      <w:pPr>
        <w:spacing w:line="360" w:lineRule="auto" w:after="20"/>
        <w:ind w:firstLine="283"/>
      </w:pPr>
      <w:r>
        <w:t>C. A customer exchanging foreign currency from a higher-risk jurisdiction for domestic currency under the reporting threshold.</w:t>
      </w:r>
    </w:p>
    <w:p>
      <w:pPr>
        <w:spacing w:line="360" w:lineRule="auto" w:after="20"/>
        <w:ind w:firstLine="283"/>
      </w:pPr>
      <w:r>
        <w:t>D. A customer using multiple accounts under different names to conduct transactions.</w:t>
      </w:r>
    </w:p>
    <w:p>
      <w:pPr>
        <w:spacing w:line="360" w:lineRule="auto" w:after="20"/>
        <w:ind w:firstLine="283"/>
      </w:pPr>
      <w:r>
        <w:t>E. A customer completing frequent small-dollar international money transfers to their native country.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MSB场景下隐瞒受益人信息和使用化名多账户</w:t>
      </w:r>
    </w:p>
    <w:p>
      <w:pPr>
        <w:spacing w:before="120" w:after="40"/>
      </w:pPr>
      <w:r>
        <w:rPr>
          <w:b/>
          <w:sz w:val="21"/>
          <w:shd w:fill="D6E4F0" w:val="clear"/>
        </w:rPr>
        <w:t>核心解析：</w:t>
      </w:r>
    </w:p>
    <w:p>
      <w:pPr>
        <w:spacing w:line="360" w:lineRule="auto" w:after="40"/>
        <w:ind w:firstLine="420"/>
      </w:pPr>
      <w:r>
        <w:t>判断洗钱警示信号需结合业务场景与客户画像。题干审查对象是货币服务企业（MSB），教材将</w:t>
      </w:r>
      <w:r>
        <w:rPr>
          <w:b/>
        </w:rPr>
        <w:t>隐瞒信息</w:t>
      </w:r>
      <w:r>
        <w:t>（如不提供充分的受益人信息）列为电汇风险指标</w:t>
      </w:r>
      <w:r>
        <w:rPr>
          <w:sz w:val="15"/>
          <w:vertAlign w:val="superscript"/>
        </w:rPr>
        <w:t>P79</w:t>
      </w:r>
      <w:r>
        <w:t>。选项A中客户办理国际电汇时“对提供受益人姓名或地址信息犹豫不决”，直接匹配这一隐瞒行为。同时，教材在洗钱常用技术中明确指出</w:t>
      </w:r>
      <w:r>
        <w:rPr>
          <w:b/>
        </w:rPr>
        <w:t>“犯罪分子利用多个账户、金融机构和中间人逃避监控”</w:t>
      </w:r>
      <w:r>
        <w:rPr>
          <w:sz w:val="15"/>
          <w:vertAlign w:val="superscript"/>
        </w:rPr>
        <w:t>P17</w:t>
      </w:r>
      <w:r>
        <w:t>。选项D中客户“使用不同名称下的多个账户进行交易”，正吻合利用多账户逃避监控的手法。两项行为均在教材中被明确记载为与洗钱相关的异常信号，且在MSB场景下直接适用。</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B项错误：</w:t>
      </w:r>
    </w:p>
    <w:p>
      <w:pPr>
        <w:spacing w:line="360" w:lineRule="auto" w:after="40"/>
        <w:ind w:firstLine="420"/>
      </w:pPr>
      <w:r>
        <w:t>便利店和餐馆等现金密集型企业出现大额现金存款，可能与其业务画像和预期交易模式一致。若没有金额、频率或资金来源等额外异常，仅凭现金存款不能直接认定为洗钱警示信号。</w:t>
      </w:r>
    </w:p>
    <w:p>
      <w:pPr>
        <w:spacing w:before="120" w:after="40"/>
      </w:pPr>
      <w:r>
        <w:rPr>
          <w:b/>
          <w:sz w:val="21"/>
          <w:shd w:fill="D6E4F0" w:val="clear"/>
        </w:rPr>
        <w:t>C项错误：</w:t>
      </w:r>
    </w:p>
    <w:p>
      <w:pPr>
        <w:spacing w:line="360" w:lineRule="auto" w:after="40"/>
        <w:ind w:firstLine="420"/>
      </w:pPr>
      <w:r>
        <w:t>低于报告门槛可能与结构化交易有关，但通常还需反复拆分、累计金额较大或刻意规避报告等行为模式。C只给出一次低于门槛的货币兑换及来源地风险，异常性不如A、D直接。</w:t>
      </w:r>
    </w:p>
    <w:p>
      <w:pPr>
        <w:spacing w:before="120" w:after="40"/>
      </w:pPr>
      <w:r>
        <w:rPr>
          <w:b/>
          <w:sz w:val="21"/>
          <w:shd w:fill="D6E4F0" w:val="clear"/>
        </w:rPr>
        <w:t>E项错误：</w:t>
      </w:r>
    </w:p>
    <w:p>
      <w:pPr>
        <w:spacing w:line="360" w:lineRule="auto" w:after="40"/>
        <w:ind w:firstLine="420"/>
      </w:pPr>
      <w:r>
        <w:t>频繁向本国汇出小额款项可能符合外籍务工人员等客群的正常汇款需求；若没有伪造文件、身份隐瞒、异常资金来源或刻意拆分等附加事实，单凭频率和小额特征不足以认定为洗钱警示信号。</w:t>
      </w:r>
    </w:p>
    <w:p>
      <w:pPr>
        <w:spacing w:before="120" w:after="40"/>
      </w:pPr>
      <w:r>
        <w:rPr>
          <w:b/>
          <w:sz w:val="21"/>
          <w:shd w:fill="D6E4F0" w:val="clear"/>
        </w:rPr>
        <w:t>易错提醒：</w:t>
      </w:r>
    </w:p>
    <w:p>
      <w:pPr>
        <w:spacing w:line="360" w:lineRule="auto" w:after="40"/>
        <w:ind w:firstLine="420"/>
      </w:pPr>
      <w:r>
        <w:t>区分“正常业务行为”与“警示信号”的关键在于是否与客户画像匹配。现金密集型企业的大额现金存款是其业务常态，不是信号；但若一位受薪专业人士频繁存入现金，则构成反常</w:t>
      </w:r>
      <w:r>
        <w:rPr>
          <w:sz w:val="15"/>
          <w:vertAlign w:val="superscript"/>
        </w:rPr>
        <w:t>P444</w:t>
      </w:r>
      <w:r>
        <w:t>。同样，外籍人士的跨境汇款本身不是信号，除非伴随拆分金额、使用化名账户或隐瞒信息等附属行为</w:t>
      </w:r>
      <w:r>
        <w:rPr>
          <w:sz w:val="15"/>
          <w:vertAlign w:val="superscript"/>
        </w:rPr>
        <w:t>P79</w:t>
      </w:r>
      <w:r>
        <w:t>。</w:t>
      </w:r>
    </w:p>
    <w:p>
      <w:pPr>
        <w:spacing w:line="360" w:lineRule="auto" w:after="120"/>
      </w:pPr>
      <w:r/>
    </w:p>
    <w:p>
      <w:pPr>
        <w:spacing w:line="360" w:lineRule="auto" w:after="40"/>
      </w:pPr>
      <w:r>
        <w:t>8. Common risks and red flags associated with trade finance clients may include: (Choose four.)</w:t>
      </w:r>
    </w:p>
    <w:p>
      <w:pPr>
        <w:spacing w:line="360" w:lineRule="auto" w:after="20"/>
        <w:ind w:firstLine="283"/>
      </w:pPr>
      <w:r>
        <w:t>A. Account activity that is not consistent with the purpose of the account</w:t>
      </w:r>
    </w:p>
    <w:p>
      <w:pPr>
        <w:spacing w:line="360" w:lineRule="auto" w:after="20"/>
        <w:ind w:firstLine="283"/>
      </w:pPr>
      <w:r>
        <w:t>B. Bills of lading matching the description of goods, quantities, and values, with transshipment details justified</w:t>
      </w:r>
    </w:p>
    <w:p>
      <w:pPr>
        <w:spacing w:line="360" w:lineRule="auto" w:after="20"/>
        <w:ind w:firstLine="283"/>
      </w:pPr>
      <w:r>
        <w:t>C. Transaction structures that appear unnecessarily complex</w:t>
      </w:r>
    </w:p>
    <w:p>
      <w:pPr>
        <w:spacing w:line="360" w:lineRule="auto" w:after="20"/>
        <w:ind w:firstLine="283"/>
      </w:pPr>
      <w:r>
        <w:t>D. Trade documents, such as invoices and letters of credit, that are not clearly worded or are in foreign languages</w:t>
      </w:r>
    </w:p>
    <w:p>
      <w:pPr>
        <w:spacing w:line="360" w:lineRule="auto" w:after="20"/>
        <w:ind w:firstLine="283"/>
      </w:pPr>
      <w:r>
        <w:t>E. Invoices with prices that are much higher than market price</w:t>
      </w:r>
    </w:p>
    <w:p>
      <w:pPr>
        <w:spacing w:line="360" w:lineRule="auto" w:after="20"/>
        <w:ind w:firstLine="283"/>
      </w:pPr>
      <w:r>
        <w:t>F. Fluctuations in prices of standard goods and services</w:t>
      </w:r>
    </w:p>
    <w:p>
      <w:pPr>
        <w:spacing w:line="360" w:lineRule="auto" w:after="40"/>
      </w:pPr>
      <w:r>
        <w:t>答案：A、C、D、E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识别贸易融资场景下的</w:t>
      </w:r>
      <w:r>
        <w:rPr>
          <w:b/>
        </w:rPr>
        <w:t>洗钱风险指标与警示信号</w:t>
      </w:r>
    </w:p>
    <w:p>
      <w:pPr>
        <w:spacing w:before="120" w:after="40"/>
      </w:pPr>
      <w:r>
        <w:rPr>
          <w:b/>
          <w:sz w:val="21"/>
          <w:shd w:fill="D6E4F0" w:val="clear"/>
        </w:rPr>
        <w:t>核心解析：</w:t>
      </w:r>
    </w:p>
    <w:p>
      <w:pPr>
        <w:spacing w:line="360" w:lineRule="auto" w:after="40"/>
        <w:ind w:firstLine="420"/>
      </w:pPr>
      <w:r>
        <w:t>贸易融资因交易的复杂性和全球性，易被用于洗钱，常见手法包括</w:t>
      </w:r>
      <w:r>
        <w:rPr>
          <w:b/>
        </w:rPr>
        <w:t>高/低开发票、重复开票和虚假货运</w:t>
      </w:r>
      <w:r>
        <w:rPr>
          <w:sz w:val="15"/>
          <w:vertAlign w:val="superscript"/>
        </w:rPr>
        <w:t>P81</w:t>
      </w:r>
      <w:r>
        <w:t>。基于此，判断贸易融资客户的风险和警示信号，核心是寻找</w:t>
      </w:r>
      <w:r>
        <w:rPr>
          <w:b/>
        </w:rPr>
        <w:t>与正常贸易逻辑不符的异常点</w:t>
      </w:r>
      <w:r>
        <w:t>。选项A“与账户用途不符的账户活动”属于交易行为偏离预期模式，是交易监控中的通用且关键的风险指标</w:t>
      </w:r>
      <w:r>
        <w:rPr>
          <w:sz w:val="15"/>
          <w:vertAlign w:val="superscript"/>
        </w:rPr>
        <w:t>P307</w:t>
      </w:r>
      <w:r>
        <w:t>。选项C“看似不必要的复杂的交易结构”直接对应洗钱过程中的复杂交易分层，用于掩盖资金踪迹</w:t>
      </w:r>
      <w:r>
        <w:rPr>
          <w:sz w:val="15"/>
          <w:vertAlign w:val="superscript"/>
        </w:rPr>
        <w:t>P343</w:t>
      </w:r>
      <w:r>
        <w:t>。选项D“贸易单据措辞不清晰或为外文书写”会增加透明度障碍，与教材警示的汇票可被操纵以“掩盖交易真实性质”</w:t>
      </w:r>
      <w:r>
        <w:rPr>
          <w:sz w:val="15"/>
          <w:vertAlign w:val="superscript"/>
        </w:rPr>
        <w:t>P66</w:t>
      </w:r>
      <w:r>
        <w:t>的风险方向一致。选项E“价格远高于市场价格的发票”则是“高开发票”（over-invoicing）这一具体洗钱手法的直接体现</w:t>
      </w:r>
      <w:r>
        <w:rPr>
          <w:sz w:val="15"/>
          <w:vertAlign w:val="superscript"/>
        </w:rPr>
        <w:t>P131</w:t>
      </w:r>
      <w:r>
        <w:t>。这四项均从不同角度指向了贸易活动中的反常特征，共同构成了一组典型的贸易融资洗钱风险画像。</w:t>
      </w:r>
    </w:p>
    <w:p>
      <w:pPr>
        <w:spacing w:before="120" w:after="40"/>
      </w:pPr>
      <w:r>
        <w:rPr>
          <w:b/>
          <w:sz w:val="21"/>
          <w:shd w:fill="D6E4F0" w:val="clear"/>
        </w:rPr>
        <w:t>教材原句：</w:t>
      </w:r>
    </w:p>
    <w:p>
      <w:pPr>
        <w:spacing w:line="360" w:lineRule="auto" w:after="40"/>
        <w:ind w:firstLine="420"/>
      </w:pPr>
      <w:r>
        <w:t>"Money launderers can use trade finance to move funds across borders, often through over- or under-invoicing, multiple invoicing, and phantom shipments."</w:t>
      </w:r>
    </w:p>
    <w:p>
      <w:pPr>
        <w:spacing w:before="120" w:after="40"/>
      </w:pPr>
      <w:r>
        <w:rPr>
          <w:b/>
          <w:sz w:val="21"/>
          <w:shd w:fill="D6E4F0" w:val="clear"/>
        </w:rPr>
        <w:t>B项错误：</w:t>
      </w:r>
    </w:p>
    <w:p>
      <w:pPr>
        <w:spacing w:line="360" w:lineRule="auto" w:after="40"/>
        <w:ind w:firstLine="420"/>
      </w:pPr>
      <w:r>
        <w:t>教材强调的贸易洗钱风险点是单据与实际情况的“不匹配”或“虚构”（如幽灵运输、货物短装/超装，P131）。选项B描述的“相符且合理”恰恰是正常、低风险的交易特征，与题干要求的“风险和警示信号”方向相悖。</w:t>
      </w:r>
    </w:p>
    <w:p>
      <w:pPr>
        <w:spacing w:line="360" w:lineRule="auto" w:after="40"/>
        <w:ind w:firstLine="420"/>
      </w:pPr>
      <w:r>
        <w:t>F项错误：商品价格因市场供需而产生的波动本身是正常的经济现象。教材中提及价格变动相关的风险时，均聚焦于人为操纵的“发票价格”与“市场价格”的背离（如高/低开发票），而非市场价格自身的一般性波动。因此，市场价格的波动不如发票价格的异常更直接地指向贸易洗钱风险。</w:t>
      </w:r>
    </w:p>
    <w:p>
      <w:pPr>
        <w:spacing w:line="360" w:lineRule="auto" w:after="120"/>
      </w:pPr>
      <w:r/>
    </w:p>
    <w:p>
      <w:pPr>
        <w:spacing w:line="360" w:lineRule="auto" w:after="40"/>
      </w:pPr>
      <w:r>
        <w:t>9. Which techniques would be most efficient for a complex investigation of unusual patterns of activity involving multiple businesses, triggered by an automated monitoring system alert? (Select Two.)</w:t>
      </w:r>
    </w:p>
    <w:p>
      <w:pPr>
        <w:spacing w:line="360" w:lineRule="auto" w:after="20"/>
        <w:ind w:firstLine="283"/>
      </w:pPr>
      <w:r>
        <w:t>A. Perform a control and ownership assessment of the businesses involved, using information available in the client files</w:t>
      </w:r>
    </w:p>
    <w:p>
      <w:pPr>
        <w:spacing w:line="360" w:lineRule="auto" w:after="20"/>
        <w:ind w:firstLine="283"/>
      </w:pPr>
      <w:r>
        <w:t>B. Contact local law enforcement and request that they assist in the analysis and investigation</w:t>
      </w:r>
    </w:p>
    <w:p>
      <w:pPr>
        <w:spacing w:line="360" w:lineRule="auto" w:after="20"/>
        <w:ind w:firstLine="283"/>
      </w:pPr>
      <w:r>
        <w:t>C. Review the information presented in the automated monitoring system's alert description and decline any future transactions</w:t>
      </w:r>
    </w:p>
    <w:p>
      <w:pPr>
        <w:spacing w:line="360" w:lineRule="auto" w:after="20"/>
        <w:ind w:firstLine="283"/>
      </w:pPr>
      <w:r>
        <w:t>D. Contact the relationship manager and ask about the reasons behind the activity pattern highlighted in the AML alert</w:t>
      </w:r>
    </w:p>
    <w:p>
      <w:pPr>
        <w:spacing w:line="360" w:lineRule="auto" w:after="20"/>
        <w:ind w:firstLine="283"/>
      </w:pPr>
      <w:r>
        <w:t>E. Use social media platforms to contact the relevant businesses and request details of account activity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复杂调查中，选择成本最低且信息密度最高的内部信息来源</w:t>
      </w:r>
    </w:p>
    <w:p>
      <w:pPr>
        <w:spacing w:before="120" w:after="40"/>
      </w:pPr>
      <w:r>
        <w:rPr>
          <w:b/>
          <w:sz w:val="21"/>
          <w:shd w:fill="D6E4F0" w:val="clear"/>
        </w:rPr>
        <w:t>核心解析：</w:t>
      </w:r>
    </w:p>
    <w:p>
      <w:pPr>
        <w:spacing w:line="360" w:lineRule="auto" w:after="40"/>
        <w:ind w:firstLine="420"/>
      </w:pPr>
      <w:r>
        <w:t>针对“涉及多家企业异常活动”的复杂调查，高效技术的核心是用最小成本获取穿透复杂结构与企业实际行为的信息。</w:t>
      </w:r>
      <w:r>
        <w:rPr>
          <w:b/>
        </w:rPr>
        <w:t>控制权和所有权评估（A）</w:t>
      </w:r>
      <w:r>
        <w:t>通过现有客户档案即可实施——教材指出，控制权和所有权在反洗钱中至关重要，因为它们经常被掩盖，使不法分子能伪装犯罪活动并便利金融犯罪</w:t>
      </w:r>
      <w:r>
        <w:rPr>
          <w:sz w:val="15"/>
          <w:vertAlign w:val="superscript"/>
        </w:rPr>
        <w:t>P59</w:t>
      </w:r>
      <w:r>
        <w:t>；涉及多层公司的复杂所有权结构本身就是红旗信号</w:t>
      </w:r>
      <w:r>
        <w:rPr>
          <w:sz w:val="15"/>
          <w:vertAlign w:val="superscript"/>
        </w:rPr>
        <w:t>P76</w:t>
      </w:r>
      <w:r>
        <w:t>。既然警报已由系统触发，调查员无需额外外部授权即可利用档案完成穿透分析。</w:t>
      </w:r>
      <w:r>
        <w:rPr>
          <w:b/>
        </w:rPr>
        <w:t>联系客户经理（D）</w:t>
      </w:r>
      <w:r>
        <w:t>同样高效：教材案例显示，调查员发现客户交易模式异常时，会标记并临时提高风险评级，以触发客户经理的审核</w:t>
      </w:r>
      <w:r>
        <w:rPr>
          <w:sz w:val="15"/>
          <w:vertAlign w:val="superscript"/>
        </w:rPr>
        <w:t>P468</w:t>
      </w:r>
      <w:r>
        <w:t>。在调查阶段，客户经理是“了解你的客户”信息与客户实际行为之间最直接的解释桥梁——他们掌握账户目的、业务背景等非结构化信息，能快速判断“为什么会出现这种模式”，这是纯数据无法替代的。两项技术均面向内部已有资源，无需跨机构协调或公开暴露，在“触发警报后的复杂调查”语境下效率远高于其他选项。</w:t>
      </w:r>
    </w:p>
    <w:p>
      <w:pPr>
        <w:spacing w:before="120" w:after="40"/>
      </w:pPr>
      <w:r>
        <w:rPr>
          <w:b/>
          <w:sz w:val="21"/>
          <w:shd w:fill="D6E4F0" w:val="clear"/>
        </w:rPr>
        <w:t>教材原句：</w:t>
      </w:r>
    </w:p>
    <w:p>
      <w:pPr>
        <w:spacing w:line="360" w:lineRule="auto" w:after="40"/>
        <w:ind w:firstLine="420"/>
      </w:pPr>
      <w:r>
        <w:t>"Control and ownership play a vital role in AML efforts, as they can often be obscured or concealed, allowing bad actors to disguise criminal activities and facilitate financial crime."</w:t>
      </w:r>
    </w:p>
    <w:p>
      <w:pPr>
        <w:spacing w:before="120" w:after="40"/>
      </w:pPr>
      <w:r>
        <w:rPr>
          <w:b/>
          <w:sz w:val="21"/>
          <w:shd w:fill="D6E4F0" w:val="clear"/>
        </w:rPr>
        <w:t>B项错误：</w:t>
      </w:r>
    </w:p>
    <w:p>
      <w:pPr>
        <w:spacing w:line="360" w:lineRule="auto" w:after="40"/>
        <w:ind w:firstLine="420"/>
      </w:pPr>
      <w:r>
        <w:t>在“触发警报后”的调查阶段，金融机构的职责是先完成自身调查，再根据结果决定是否移交执法。教材指出，组织应在完成自身调查后将案件移交执法部门</w:t>
      </w:r>
      <w:r>
        <w:rPr>
          <w:sz w:val="15"/>
          <w:vertAlign w:val="superscript"/>
        </w:rPr>
        <w:t>P361</w:t>
      </w:r>
      <w:r>
        <w:t>，而非在调查初期请求执法协助。题干更直接匹配“先内部调查”的流程要求，而非“直接寻求外部执法介入”。</w:t>
      </w:r>
    </w:p>
    <w:p>
      <w:pPr>
        <w:spacing w:before="120" w:after="40"/>
      </w:pPr>
      <w:r>
        <w:rPr>
          <w:b/>
          <w:sz w:val="21"/>
          <w:shd w:fill="D6E4F0" w:val="clear"/>
        </w:rPr>
        <w:t>C项错误：</w:t>
      </w:r>
    </w:p>
    <w:p>
      <w:pPr>
        <w:spacing w:line="360" w:lineRule="auto" w:after="40"/>
        <w:ind w:firstLine="420"/>
      </w:pPr>
      <w:r>
        <w:t>仅查看警报描述信息即拒绝未来交易，跳过了“审查案件事实并决定是否提交可疑交易报告”的完整调查流程</w:t>
      </w:r>
      <w:r>
        <w:rPr>
          <w:sz w:val="15"/>
          <w:vertAlign w:val="superscript"/>
        </w:rPr>
        <w:t>P357</w:t>
      </w:r>
      <w:r>
        <w:t>。教材强调，金融机构在审查预警后可能因证据不足而决定不提交可疑活动报告</w:t>
      </w:r>
      <w:r>
        <w:rPr>
          <w:sz w:val="15"/>
          <w:vertAlign w:val="superscript"/>
        </w:rPr>
        <w:t>P357</w:t>
      </w:r>
      <w:r>
        <w:t>，这意味着预警本身不等于结论。题干要求的“高效技术”是信息收集分析手段，而非直接给出处置决定，且教材描述的是一个调查与决策的过程，而非仅基于警报描述的单向行动。</w:t>
      </w:r>
    </w:p>
    <w:p>
      <w:pPr>
        <w:spacing w:before="120" w:after="40"/>
      </w:pPr>
      <w:r>
        <w:rPr>
          <w:b/>
          <w:sz w:val="21"/>
          <w:shd w:fill="D6E4F0" w:val="clear"/>
        </w:rPr>
        <w:t>E项错误：</w:t>
      </w:r>
    </w:p>
    <w:p>
      <w:pPr>
        <w:spacing w:line="360" w:lineRule="auto" w:after="40"/>
        <w:ind w:firstLine="420"/>
      </w:pPr>
      <w:r>
        <w:t>社交媒体资料可提供客户或相关方的额外背景信息</w:t>
      </w:r>
      <w:r>
        <w:rPr>
          <w:sz w:val="15"/>
          <w:vertAlign w:val="superscript"/>
        </w:rPr>
        <w:t>P338</w:t>
      </w:r>
      <w:r>
        <w:t>，其用途是被动收集公开信息辅助判断，而非直接联系客户索要账户活动详情。调查中向客户直接索取信息通过正式信息请求流程（RFI）进行</w:t>
      </w:r>
      <w:r>
        <w:rPr>
          <w:sz w:val="15"/>
          <w:vertAlign w:val="superscript"/>
        </w:rPr>
        <w:t>P338</w:t>
      </w:r>
      <w:r>
        <w:t>。通过社交媒体平台直接联系企业请求账户详情，缺乏正式流程保障，且可能引发“提示”（tipping off）风险。相比之下，联系客户经理（D）和评估内部档案（A）在合规性与信息可靠性上更匹配调查需求。</w:t>
      </w:r>
    </w:p>
    <w:p>
      <w:pPr>
        <w:spacing w:before="120" w:after="40"/>
      </w:pPr>
      <w:r>
        <w:rPr>
          <w:b/>
          <w:sz w:val="21"/>
          <w:shd w:fill="D6E4F0" w:val="clear"/>
        </w:rPr>
        <w:t>易错提醒：</w:t>
      </w:r>
    </w:p>
    <w:p>
      <w:pPr>
        <w:spacing w:line="360" w:lineRule="auto" w:after="40"/>
        <w:ind w:firstLine="420"/>
      </w:pPr>
      <w:r>
        <w:t>调查阶段的信息收集与向执法部门“提交案件”是不同流程节点。教材在P361明确：组织应在完成自身调查后再将案件移交执法部门。执法介入不是调查的起点，而是调查完成后的后续步骤。两者在时间序列上不可倒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