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(EN)</w:t>
      </w:r>
    </w:p>
    <w:p>
      <w:pPr>
        <w:spacing w:line="360" w:lineRule="auto" w:after="160"/>
      </w:pPr>
      <w:r>
        <w:t>一、单项选择题</w:t>
      </w:r>
    </w:p>
    <w:p>
      <w:pPr>
        <w:spacing w:line="360" w:lineRule="auto" w:after="40"/>
      </w:pPr>
      <w:r>
        <w:t>1. Money services businesses (MSBs), payment service providers, and e-commerce platforms usually have a high volume of daily transactions. What are the risks associated with these types of businesses? (Choose Two.)</w:t>
      </w:r>
    </w:p>
    <w:p>
      <w:pPr>
        <w:spacing w:line="360" w:lineRule="auto" w:after="20"/>
        <w:ind w:firstLine="283"/>
      </w:pPr>
      <w:r>
        <w:t>A. These businesses are all cash intensive, increasing the risk of financial crime.</w:t>
      </w:r>
    </w:p>
    <w:p>
      <w:pPr>
        <w:spacing w:line="360" w:lineRule="auto" w:after="20"/>
        <w:ind w:firstLine="283"/>
      </w:pPr>
      <w:r>
        <w:t>B. KYC challenges arise because e-commerce platforms face global customers, making customer due diligence complex and resource intensive.</w:t>
      </w:r>
    </w:p>
    <w:p>
      <w:pPr>
        <w:spacing w:line="360" w:lineRule="auto" w:after="20"/>
        <w:ind w:firstLine="283"/>
      </w:pPr>
      <w:r>
        <w:t>C. These businesses are highly regulated and therefore have no reason to be non-compliant, as this would put them at risk of sanctions and fines.</w:t>
      </w:r>
    </w:p>
    <w:p>
      <w:pPr>
        <w:spacing w:line="360" w:lineRule="auto" w:after="20"/>
        <w:ind w:firstLine="283"/>
      </w:pPr>
      <w:r>
        <w:t>D. Criminals can use identity fraud to complete the KYC process for layering purposes.</w:t>
      </w:r>
    </w:p>
    <w:p>
      <w:pPr>
        <w:spacing w:line="360" w:lineRule="auto" w:after="20"/>
        <w:ind w:firstLine="283"/>
      </w:pPr>
      <w:r>
        <w:t>E. These businesses' settlement systems are not sufficiently robust to handle high transaction volumes.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识别线上金融服务商面临的KYC挑战与身份欺诈风险</w:t>
      </w:r>
    </w:p>
    <w:p>
      <w:pPr>
        <w:spacing w:before="120" w:after="40"/>
      </w:pPr>
      <w:r>
        <w:rPr>
          <w:b/>
          <w:sz w:val="21"/>
          <w:shd w:fill="D6E4F0" w:val="clear"/>
        </w:rPr>
        <w:t>核心解析：</w:t>
      </w:r>
    </w:p>
    <w:p>
      <w:pPr>
        <w:spacing w:line="360" w:lineRule="auto" w:after="40"/>
        <w:ind w:firstLine="420"/>
      </w:pPr>
      <w:r>
        <w:t>题干列出的三类企业共同面临</w:t>
      </w:r>
      <w:r>
        <w:rPr>
          <w:b/>
        </w:rPr>
        <w:t>高交易量、跨司法管辖区和客户识别</w:t>
      </w:r>
      <w:r>
        <w:t>方面的金融犯罪风险。B项对电商平台的描述最直接：电商平台连接全球买家和卖家，</w:t>
      </w:r>
      <w:r>
        <w:rPr>
          <w:b/>
        </w:rPr>
        <w:t>买家与商户审查不足</w:t>
      </w:r>
      <w:r>
        <w:t>会带来金融犯罪、欺诈和监管风险</w:t>
      </w:r>
      <w:r>
        <w:rPr>
          <w:sz w:val="15"/>
          <w:vertAlign w:val="superscript"/>
        </w:rPr>
        <w:t>P87</w:t>
      </w:r>
      <w:r>
        <w:t>；跨境经营还会使CDD受到不同司法辖区法律和数据要求影响，因而流程更复杂、资源投入更高</w:t>
      </w:r>
      <w:r>
        <w:rPr>
          <w:sz w:val="15"/>
          <w:vertAlign w:val="superscript"/>
        </w:rPr>
        <w:t>P410</w:t>
      </w:r>
      <w:r>
        <w:t>。D项对应数字化和远程场景：MSB可通过在线平台和移动应用提供服务</w:t>
      </w:r>
      <w:r>
        <w:rPr>
          <w:sz w:val="15"/>
          <w:vertAlign w:val="superscript"/>
        </w:rPr>
        <w:t>P93</w:t>
      </w:r>
      <w:r>
        <w:t>，电商依赖互联网</w:t>
      </w:r>
      <w:r>
        <w:rPr>
          <w:sz w:val="15"/>
          <w:vertAlign w:val="superscript"/>
        </w:rPr>
        <w:t>P96</w:t>
      </w:r>
      <w:r>
        <w:t>；</w:t>
      </w:r>
      <w:r>
        <w:rPr>
          <w:b/>
        </w:rPr>
        <w:t>远程开户验证容易被假身份或盗用身份利用</w:t>
      </w:r>
      <w:r>
        <w:rPr>
          <w:sz w:val="15"/>
          <w:vertAlign w:val="superscript"/>
        </w:rPr>
        <w:t>P312</w:t>
      </w:r>
      <w:r>
        <w:t>，而分层可通过复杂交易掩盖资金来源</w:t>
      </w:r>
      <w:r>
        <w:rPr>
          <w:sz w:val="15"/>
          <w:vertAlign w:val="superscript"/>
        </w:rPr>
        <w:t>P16</w:t>
      </w:r>
      <w:r>
        <w:t>。因此B、D成立。A项把三类企业一概称为现金密集型，范围过宽；C项把监管义务误当作自动合规；E项则从高交易量直接推断结算系统能力不足，因果关系不成立。</w:t>
      </w:r>
    </w:p>
    <w:p>
      <w:pPr>
        <w:spacing w:before="120" w:after="40"/>
      </w:pPr>
      <w:r>
        <w:rPr>
          <w:b/>
          <w:sz w:val="21"/>
          <w:shd w:fill="D6E4F0" w:val="clear"/>
        </w:rPr>
        <w:t>教材原句：</w:t>
      </w:r>
    </w:p>
    <w:p>
      <w:pPr>
        <w:spacing w:line="360" w:lineRule="auto" w:after="40"/>
        <w:ind w:firstLine="420"/>
      </w:pPr>
      <w:r>
        <w:t>"Remote onboarding: The use of digital channels for onboarding new customers can introduce additional risks to the verification process, making it easier for criminals to use fake or stolen identities and exploit weaknesses in technology."</w:t>
      </w:r>
      <w:r>
        <w:rPr>
          <w:sz w:val="15"/>
          <w:vertAlign w:val="superscript"/>
        </w:rPr>
        <w:t>P312</w:t>
      </w:r>
    </w:p>
    <w:p>
      <w:pPr>
        <w:spacing w:before="120" w:after="40"/>
      </w:pPr>
      <w:r>
        <w:rPr>
          <w:b/>
          <w:sz w:val="21"/>
          <w:shd w:fill="D6E4F0" w:val="clear"/>
        </w:rPr>
        <w:t>A项错误：</w:t>
      </w:r>
    </w:p>
    <w:p>
      <w:pPr>
        <w:spacing w:line="360" w:lineRule="auto" w:after="40"/>
        <w:ind w:firstLine="420"/>
      </w:pPr>
      <w:r>
        <w:t>MSB可能具有现金密集特征</w:t>
      </w:r>
      <w:r>
        <w:rPr>
          <w:sz w:val="15"/>
          <w:vertAlign w:val="superscript"/>
        </w:rPr>
        <w:t>P93、P95</w:t>
      </w:r>
      <w:r>
        <w:t>，但支付服务商和电商平台不当然都以现金为主；“都是”把部分行业特征扩大到了全部三类企业。</w:t>
      </w:r>
    </w:p>
    <w:p>
      <w:pPr>
        <w:spacing w:before="120" w:after="40"/>
      </w:pPr>
      <w:r>
        <w:rPr>
          <w:b/>
          <w:sz w:val="21"/>
          <w:shd w:fill="D6E4F0" w:val="clear"/>
        </w:rPr>
        <w:t>C项错误：</w:t>
      </w:r>
    </w:p>
    <w:p>
      <w:pPr>
        <w:spacing w:line="360" w:lineRule="auto" w:after="40"/>
        <w:ind w:firstLine="420"/>
      </w:pPr>
      <w:r>
        <w:t>受到监管只说明存在合规义务，不等于企业自动合规；选项把“有制裁风险”错误地当成“没有不合规风险”。</w:t>
      </w:r>
    </w:p>
    <w:p>
      <w:pPr>
        <w:spacing w:before="120" w:after="40"/>
      </w:pPr>
      <w:r>
        <w:rPr>
          <w:b/>
          <w:sz w:val="21"/>
          <w:shd w:fill="D6E4F0" w:val="clear"/>
        </w:rPr>
        <w:t>E项错误：</w:t>
      </w:r>
    </w:p>
    <w:p>
      <w:pPr>
        <w:spacing w:line="360" w:lineRule="auto" w:after="40"/>
        <w:ind w:firstLine="420"/>
      </w:pPr>
      <w:r>
        <w:t>大量小额交易会提高监控和处理要求，但不能据此推断这些企业的结算系统普遍不完善或无法应对高交易量。</w:t>
      </w:r>
    </w:p>
    <w:p>
      <w:pPr>
        <w:spacing w:before="120" w:after="40"/>
      </w:pPr>
      <w:r>
        <w:rPr>
          <w:b/>
          <w:sz w:val="21"/>
          <w:shd w:fill="D6E4F0" w:val="clear"/>
        </w:rPr>
        <w:t>易错提醒：</w:t>
      </w:r>
    </w:p>
    <w:p>
      <w:pPr>
        <w:spacing w:line="360" w:lineRule="auto" w:after="40"/>
        <w:ind w:firstLine="420"/>
      </w:pPr>
      <w:r>
        <w:t>现金密集型不等于三类企业都以现金运营；本题的B、D分别依赖电商跨境KYC和数字化身份验证风险</w:t>
      </w:r>
      <w:r>
        <w:rPr>
          <w:sz w:val="15"/>
          <w:vertAlign w:val="superscript"/>
        </w:rPr>
        <w:t>P87、P312</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