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(EN)</w:t>
      </w:r>
    </w:p>
    <w:p>
      <w:pPr>
        <w:spacing w:line="360" w:lineRule="auto" w:after="160"/>
      </w:pPr>
      <w:r>
        <w:t>一、单项选择题</w:t>
      </w:r>
    </w:p>
    <w:p>
      <w:pPr>
        <w:spacing w:line="360" w:lineRule="auto" w:after="40"/>
      </w:pPr>
      <w:r>
        <w:t>1. Which red flag is most relevant to money laundering through capital markets?</w:t>
      </w:r>
    </w:p>
    <w:p>
      <w:pPr>
        <w:spacing w:line="360" w:lineRule="auto" w:after="20"/>
        <w:ind w:firstLine="283"/>
      </w:pPr>
      <w:r>
        <w:t>A. A low-priced security sees a sudden spike in investor demand with a rising price</w:t>
      </w:r>
    </w:p>
    <w:p>
      <w:pPr>
        <w:spacing w:line="360" w:lineRule="auto" w:after="20"/>
        <w:ind w:firstLine="283"/>
      </w:pPr>
      <w:r>
        <w:t>B. A trading customer maintains a portfolio of securities concentrated in one specific emerging market</w:t>
      </w:r>
    </w:p>
    <w:p>
      <w:pPr>
        <w:spacing w:line="360" w:lineRule="auto" w:after="20"/>
        <w:ind w:firstLine="283"/>
      </w:pPr>
      <w:r>
        <w:t>C. A firm sees an unexpected increase in demand for electronically traded funds</w:t>
      </w:r>
    </w:p>
    <w:p>
      <w:pPr>
        <w:spacing w:line="360" w:lineRule="auto" w:after="20"/>
        <w:ind w:firstLine="283"/>
      </w:pPr>
      <w:r>
        <w:t>D. A security sees a transaction pattern of a steady decrease in both trading volume and prices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识别资本市场中异常交易模式作为洗钱红旗</w:t>
      </w:r>
    </w:p>
    <w:p>
      <w:pPr>
        <w:spacing w:before="120" w:after="40"/>
      </w:pPr>
      <w:r>
        <w:rPr>
          <w:b/>
          <w:sz w:val="21"/>
          <w:shd w:fill="D6E4F0" w:val="clear"/>
        </w:rPr>
        <w:t>核心解析：</w:t>
      </w:r>
    </w:p>
    <w:p>
      <w:pPr>
        <w:spacing w:line="360" w:lineRule="auto" w:after="40"/>
        <w:ind w:firstLine="420"/>
      </w:pPr>
      <w:r>
        <w:t>持续监控交易活动可识别可能涉及金融犯罪的</w:t>
      </w:r>
      <w:r>
        <w:rPr>
          <w:b/>
        </w:rPr>
        <w:t>异常模式</w:t>
      </w:r>
      <w:r>
        <w:t>，包括大型或不寻常交易、快速交易和高频交易等</w:t>
      </w:r>
      <w:r>
        <w:rPr>
          <w:sz w:val="15"/>
          <w:vertAlign w:val="superscript"/>
        </w:rPr>
        <w:t>P104</w:t>
      </w:r>
      <w:r>
        <w:t>。低价证券的需求和价格突然同步上升，可能反映异常交易或市场操纵，需要进一步核实交易对手、资金来源及是否存在预先安排的交易。在给定选项中，A项呈现的</w:t>
      </w:r>
      <w:r>
        <w:rPr>
          <w:b/>
        </w:rPr>
        <w:t>突发性价格和需求变化</w:t>
      </w:r>
      <w:r>
        <w:t>最明显，因而相对更符合红旗信号；但仅凭价格上涨本身不能认定已经发生洗钱。</w:t>
      </w:r>
    </w:p>
    <w:p>
      <w:pPr>
        <w:spacing w:before="120" w:after="40"/>
      </w:pPr>
      <w:r>
        <w:rPr>
          <w:b/>
          <w:sz w:val="21"/>
          <w:shd w:fill="D6E4F0" w:val="clear"/>
        </w:rPr>
        <w:t>B项错误：</w:t>
      </w:r>
    </w:p>
    <w:p>
      <w:pPr>
        <w:spacing w:line="360" w:lineRule="auto" w:after="40"/>
        <w:ind w:firstLine="420"/>
      </w:pPr>
      <w:r>
        <w:t>证券组合集中于某一新兴市场可能提高地域或集中度风险，但题干没有说明交易频率、资金来源或交易行为出现异常。它更像静态投资特征，不如A项的需求和价格突然同步上升更直接体现异常交易模式。</w:t>
      </w:r>
    </w:p>
    <w:p>
      <w:pPr>
        <w:spacing w:before="120" w:after="40"/>
      </w:pPr>
      <w:r>
        <w:rPr>
          <w:b/>
          <w:sz w:val="21"/>
          <w:shd w:fill="D6E4F0" w:val="clear"/>
        </w:rPr>
        <w:t>C项错误：</w:t>
      </w:r>
    </w:p>
    <w:p>
      <w:pPr>
        <w:spacing w:line="360" w:lineRule="auto" w:after="40"/>
        <w:ind w:firstLine="420"/>
      </w:pPr>
      <w:r>
        <w:t>电子交易基金需求意外增加可能由市场行情、产品变化或投资者偏好引起，选项没有同时给出价格操纵、异常对手方或资金流转等要素。相比之下，A呈现的低价证券需求与价格同步突升，更需要核查是否存在异常交易安排。</w:t>
      </w:r>
    </w:p>
    <w:p>
      <w:pPr>
        <w:spacing w:before="120" w:after="40"/>
      </w:pPr>
      <w:r>
        <w:rPr>
          <w:b/>
          <w:sz w:val="21"/>
          <w:shd w:fill="D6E4F0" w:val="clear"/>
        </w:rPr>
        <w:t>D项错误：</w:t>
      </w:r>
    </w:p>
    <w:p>
      <w:pPr>
        <w:spacing w:line="360" w:lineRule="auto" w:after="40"/>
        <w:ind w:firstLine="420"/>
      </w:pPr>
      <w:r>
        <w:t>教材强调的交易监控重点在于异常飙升或高频交易，而“成交量和价格双双持续下降”通常反映市场疲软，并非洗钱活动的典型特征，与教材给出的红旗信号关联度低于A。</w:t>
      </w:r>
    </w:p>
    <w:p>
      <w:pPr>
        <w:spacing w:before="120" w:after="40"/>
      </w:pPr>
      <w:r>
        <w:rPr>
          <w:b/>
          <w:sz w:val="21"/>
          <w:shd w:fill="D6E4F0" w:val="clear"/>
        </w:rPr>
        <w:t>易错提醒：</w:t>
      </w:r>
    </w:p>
    <w:p>
      <w:pPr>
        <w:spacing w:line="360" w:lineRule="auto" w:after="40"/>
        <w:ind w:firstLine="420"/>
      </w:pPr>
      <w:r>
        <w:t>异常交易模式的核心是“背离客户历史行为或正常市场预期”，而非单一的价格或成交量变化。低价证券突然飙升可能对应以“拉高出货”（pump and dump）等方式清洗资金，而常规的投资组合集中或产品需求变化缺乏这种异常性。</w:t>
      </w:r>
    </w:p>
    <w:p>
      <w:pPr>
        <w:spacing w:line="360" w:lineRule="auto" w:after="120"/>
      </w:pPr>
      <w:r/>
    </w:p>
    <w:p>
      <w:pPr>
        <w:spacing w:line="360" w:lineRule="auto" w:after="40"/>
      </w:pPr>
      <w:r>
        <w:t>2. Criminals may misuse financial statements prepared by accountants to hide illicit assets. Which of the following scenarios poses the greatest risk of financial statement manipulation by criminals?</w:t>
      </w:r>
    </w:p>
    <w:p>
      <w:pPr>
        <w:spacing w:line="360" w:lineRule="auto" w:after="20"/>
        <w:ind w:firstLine="283"/>
      </w:pPr>
      <w:r>
        <w:t>A. Auditors overlook clear financial discrepancies when reviewing financial statements, allowing suspicious activity to be concealed</w:t>
      </w:r>
    </w:p>
    <w:p>
      <w:pPr>
        <w:spacing w:line="360" w:lineRule="auto" w:after="20"/>
        <w:ind w:firstLine="283"/>
      </w:pPr>
      <w:r>
        <w:t>B. Criminals posing as individuals seeking financial advice to place assets out of reach to avoid future liabilities</w:t>
      </w:r>
    </w:p>
    <w:p>
      <w:pPr>
        <w:spacing w:line="360" w:lineRule="auto" w:after="20"/>
        <w:ind w:firstLine="283"/>
      </w:pPr>
      <w:r>
        <w:t>C. Incomplete records being provided during bookkeeping, making them difficult to audit</w:t>
      </w:r>
    </w:p>
    <w:p>
      <w:pPr>
        <w:spacing w:line="360" w:lineRule="auto" w:after="20"/>
        <w:ind w:firstLine="283"/>
      </w:pPr>
      <w:r>
        <w:t>D. Accountants being used as intermediaries to introduce criminals to financial institutions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识别忽视财务差异与财务报表操纵风险的直接关联</w:t>
      </w:r>
    </w:p>
    <w:p>
      <w:pPr>
        <w:spacing w:before="120" w:after="40"/>
      </w:pPr>
      <w:r>
        <w:rPr>
          <w:b/>
          <w:sz w:val="21"/>
          <w:shd w:fill="D6E4F0" w:val="clear"/>
        </w:rPr>
        <w:t>核心解析：</w:t>
      </w:r>
    </w:p>
    <w:p>
      <w:pPr>
        <w:spacing w:line="360" w:lineRule="auto" w:after="40"/>
        <w:ind w:firstLine="420"/>
      </w:pPr>
      <w:r>
        <w:t>教材指出，审计人员会检查财务报表是否符合会计准则和法律，审查时</w:t>
      </w:r>
      <w:r>
        <w:rPr>
          <w:b/>
        </w:rPr>
        <w:t>忽视财务差异可能掩盖可疑活动</w:t>
      </w:r>
      <w:r>
        <w:rPr>
          <w:sz w:val="15"/>
          <w:vertAlign w:val="superscript"/>
        </w:rPr>
        <w:t>P123</w:t>
      </w:r>
      <w:r>
        <w:t>。会计师也有责任识别财务记录中的红旗并遵守专业机构和监管机构设定的伦理标准</w:t>
      </w:r>
      <w:r>
        <w:rPr>
          <w:sz w:val="15"/>
          <w:vertAlign w:val="superscript"/>
        </w:rPr>
        <w:t>P124</w:t>
      </w:r>
      <w:r>
        <w:t>。A直接描述在财务报表审查中忽视明显差异，使可疑活动被隐藏，最贴合题干所问的“操纵财务报表以隐藏非法资产”。</w:t>
      </w:r>
    </w:p>
    <w:p>
      <w:pPr>
        <w:spacing w:before="120" w:after="40"/>
      </w:pPr>
      <w:r>
        <w:rPr>
          <w:b/>
          <w:sz w:val="21"/>
          <w:shd w:fill="D6E4F0" w:val="clear"/>
        </w:rPr>
        <w:t>教材原句：</w:t>
      </w:r>
    </w:p>
    <w:p>
      <w:pPr>
        <w:spacing w:line="360" w:lineRule="auto" w:after="40"/>
        <w:ind w:firstLine="420"/>
      </w:pPr>
      <w:r>
        <w:t>"Overlooking financial discrepancies during reviews might conceal suspicious activities."</w:t>
      </w:r>
    </w:p>
    <w:p>
      <w:pPr>
        <w:spacing w:before="120" w:after="40"/>
      </w:pPr>
      <w:r>
        <w:rPr>
          <w:b/>
          <w:sz w:val="21"/>
          <w:shd w:fill="D6E4F0" w:val="clear"/>
        </w:rPr>
        <w:t>B项错误：</w:t>
      </w:r>
    </w:p>
    <w:p>
      <w:pPr>
        <w:spacing w:line="360" w:lineRule="auto" w:after="40"/>
        <w:ind w:firstLine="420"/>
      </w:pPr>
      <w:r>
        <w:t>该选项描述的是犯罪分子通过伪装身份转移资产以逃避责任，属于资产隐匿的个人行为，而非对“财务报表”本身的操纵。</w:t>
      </w:r>
    </w:p>
    <w:p>
      <w:pPr>
        <w:spacing w:before="120" w:after="40"/>
      </w:pPr>
      <w:r>
        <w:rPr>
          <w:b/>
          <w:sz w:val="21"/>
          <w:shd w:fill="D6E4F0" w:val="clear"/>
        </w:rPr>
        <w:t>C项错误：</w:t>
      </w:r>
    </w:p>
    <w:p>
      <w:pPr>
        <w:spacing w:line="360" w:lineRule="auto" w:after="40"/>
        <w:ind w:firstLine="420"/>
      </w:pPr>
      <w:r>
        <w:t>记录不完整确实会增加审计困难，也可能与操纵行为同时出现；但它只说明资料质量不足，没有直接说明审查人员忽视财务差异或让可疑活动被隐藏。若题干进一步说明不完整记录被故意用于掩盖差异，C的风险会更强。</w:t>
      </w:r>
    </w:p>
    <w:p>
      <w:pPr>
        <w:spacing w:before="120" w:after="40"/>
      </w:pPr>
      <w:r>
        <w:rPr>
          <w:b/>
          <w:sz w:val="21"/>
          <w:shd w:fill="D6E4F0" w:val="clear"/>
        </w:rPr>
        <w:t>D项错误：</w:t>
      </w:r>
    </w:p>
    <w:p>
      <w:pPr>
        <w:spacing w:line="360" w:lineRule="auto" w:after="40"/>
        <w:ind w:firstLine="420"/>
      </w:pPr>
      <w:r>
        <w:t>教材将会计师、律师等DNFBP定义为“看门人”，充当犯罪分子与金融系统之间的中介</w:t>
      </w:r>
      <w:r>
        <w:rPr>
          <w:sz w:val="15"/>
          <w:vertAlign w:val="superscript"/>
        </w:rPr>
        <w:t>P119</w:t>
      </w:r>
      <w:r>
        <w:t>。但本题的核心风险点在于“财务报表操纵”，而非利用会计师身份接近金融机构。</w:t>
      </w:r>
    </w:p>
    <w:p>
      <w:pPr>
        <w:spacing w:line="360" w:lineRule="auto" w:after="120"/>
      </w:pPr>
      <w:r/>
    </w:p>
    <w:p>
      <w:pPr>
        <w:spacing w:line="360" w:lineRule="auto" w:after="40"/>
      </w:pPr>
      <w:r>
        <w:t>3. An insurance company receives an application for a high-value life insurance policy from a new non-resident client. The payout instruction is linked to an offshore trust in another jurisdiction to which the client has no obvious connection. The client insists on paying premiums via multiple transactions to "avoid bank charges." The client is reportedly unemployed with minimal assets, which is inconsistent with the policy value. Which financial crime risk should the insurance company be most concerned with?</w:t>
      </w:r>
    </w:p>
    <w:p>
      <w:pPr>
        <w:spacing w:line="360" w:lineRule="auto" w:after="20"/>
        <w:ind w:firstLine="283"/>
      </w:pPr>
      <w:r>
        <w:t>A. Sanctions evasion</w:t>
      </w:r>
    </w:p>
    <w:p>
      <w:pPr>
        <w:spacing w:line="360" w:lineRule="auto" w:after="20"/>
        <w:ind w:firstLine="283"/>
      </w:pPr>
      <w:r>
        <w:t>B. Money laundering</w:t>
      </w:r>
    </w:p>
    <w:p>
      <w:pPr>
        <w:spacing w:line="360" w:lineRule="auto" w:after="20"/>
        <w:ind w:firstLine="283"/>
      </w:pPr>
      <w:r>
        <w:t>C. Fraud</w:t>
      </w:r>
    </w:p>
    <w:p>
      <w:pPr>
        <w:spacing w:line="360" w:lineRule="auto" w:after="20"/>
        <w:ind w:firstLine="283"/>
      </w:pPr>
      <w:r>
        <w:t>D. Market abuse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识别高价值保险产品的洗钱风险指标</w:t>
      </w:r>
    </w:p>
    <w:p>
      <w:pPr>
        <w:spacing w:before="120" w:after="40"/>
      </w:pPr>
      <w:r>
        <w:rPr>
          <w:b/>
          <w:sz w:val="21"/>
          <w:shd w:fill="D6E4F0" w:val="clear"/>
        </w:rPr>
        <w:t>核心解析：</w:t>
      </w:r>
    </w:p>
    <w:p>
      <w:pPr>
        <w:spacing w:line="360" w:lineRule="auto" w:after="40"/>
        <w:ind w:firstLine="420"/>
      </w:pPr>
      <w:r>
        <w:t>高额人寿保险属于可能引发反洗钱关注的</w:t>
      </w:r>
      <w:r>
        <w:rPr>
          <w:b/>
        </w:rPr>
        <w:t>高风险保险产品</w:t>
      </w:r>
      <w:r>
        <w:t>；具有高现金价值或灵活缴费方式的保险产品可能被用于掩盖资金来源，犯罪分子也可能利用大额、不规则的保费支付</w:t>
      </w:r>
      <w:r>
        <w:rPr>
          <w:sz w:val="15"/>
          <w:vertAlign w:val="superscript"/>
        </w:rPr>
        <w:t>P101</w:t>
      </w:r>
      <w:r>
        <w:t>。题干中的客户申请高额人寿保险，坚持通过多次交易缴纳保费，其失业、资产极少的状况又与保单价值明显不匹配，因此需要进一步</w:t>
      </w:r>
      <w:r>
        <w:rPr>
          <w:b/>
        </w:rPr>
        <w:t>核实财富来源和资金来源</w:t>
      </w:r>
      <w:r>
        <w:rPr>
          <w:sz w:val="15"/>
          <w:vertAlign w:val="superscript"/>
        </w:rPr>
        <w:t>P306</w:t>
      </w:r>
      <w:r>
        <w:t>。赔付还指向与客户无明显关联的跨境离岸信托，进一步增加了关系和资金去向的核查必要性。离岸信托本身不能证明洗钱，但上述特征组合最直接指向保险产品可能被用于</w:t>
      </w:r>
      <w:r>
        <w:rPr>
          <w:b/>
        </w:rPr>
        <w:t>掩盖资金来源</w:t>
      </w:r>
      <w:r>
        <w:t>，因此B比其他选项更符合题意。</w:t>
      </w:r>
    </w:p>
    <w:p>
      <w:pPr>
        <w:spacing w:before="120" w:after="40"/>
      </w:pPr>
      <w:r>
        <w:rPr>
          <w:b/>
          <w:sz w:val="21"/>
          <w:shd w:fill="D6E4F0" w:val="clear"/>
        </w:rPr>
        <w:t>教材原句：</w:t>
      </w:r>
    </w:p>
    <w:p>
      <w:pPr>
        <w:spacing w:line="360" w:lineRule="auto" w:after="40"/>
        <w:ind w:firstLine="420"/>
      </w:pPr>
      <w:r>
        <w:t>"Certain products can be high-risk, such as high-value life insurance and investment-linked policies, and can present AML concerns."</w:t>
      </w:r>
    </w:p>
    <w:p>
      <w:pPr>
        <w:spacing w:before="120" w:after="40"/>
      </w:pPr>
      <w:r>
        <w:rPr>
          <w:b/>
          <w:sz w:val="21"/>
          <w:shd w:fill="D6E4F0" w:val="clear"/>
        </w:rPr>
        <w:t>A项错误：</w:t>
      </w:r>
    </w:p>
    <w:p>
      <w:pPr>
        <w:spacing w:line="360" w:lineRule="auto" w:after="40"/>
        <w:ind w:firstLine="420"/>
      </w:pPr>
      <w:r>
        <w:t>违反制裁的核心在于规避对特定个人、实体或国家的限制性措施。题干场景虽涉及非居民客户和另一司法管辖区的离岸信托，但未出现任何被制裁主体、受制裁司法管辖区或禁止交易等关键要素。题干中客户的异常行为更多指向资金来源不明，而非规避制裁，匹配度不如洗钱直接。</w:t>
      </w:r>
    </w:p>
    <w:p>
      <w:pPr>
        <w:spacing w:before="120" w:after="40"/>
      </w:pPr>
      <w:r>
        <w:rPr>
          <w:b/>
          <w:sz w:val="21"/>
          <w:shd w:fill="D6E4F0" w:val="clear"/>
        </w:rPr>
        <w:t>C项错误：</w:t>
      </w:r>
    </w:p>
    <w:p>
      <w:pPr>
        <w:spacing w:line="360" w:lineRule="auto" w:after="40"/>
        <w:ind w:firstLine="420"/>
      </w:pPr>
      <w:r>
        <w:t>诈骗是为取得不正当利益而故意实施的犯罪欺骗行为</w:t>
      </w:r>
      <w:r>
        <w:rPr>
          <w:sz w:val="15"/>
          <w:vertAlign w:val="superscript"/>
        </w:rPr>
        <w:t>P29</w:t>
      </w:r>
      <w:r>
        <w:t>。如果题干出现伪造事故、虚假理赔材料或骗取保险赔款，诈骗会更直接；本题尚未发生理赔，异常主要集中在保费资金来源、缴费方式及赔付安排，因此洗钱风险的匹配度更高。</w:t>
      </w:r>
    </w:p>
    <w:p>
      <w:pPr>
        <w:spacing w:before="120" w:after="40"/>
      </w:pPr>
      <w:r>
        <w:rPr>
          <w:b/>
          <w:sz w:val="21"/>
          <w:shd w:fill="D6E4F0" w:val="clear"/>
        </w:rPr>
        <w:t>D项错误：</w:t>
      </w:r>
    </w:p>
    <w:p>
      <w:pPr>
        <w:spacing w:line="360" w:lineRule="auto" w:after="40"/>
        <w:ind w:firstLine="420"/>
      </w:pPr>
      <w:r>
        <w:t>题干描述的是保险投保、保费支付和未来赔付安排，没有证券或其他市场交易，也没有内幕信息利用或操纵市场等事实，因而不支持市场滥用风险。</w:t>
      </w:r>
    </w:p>
    <w:p>
      <w:pPr>
        <w:spacing w:before="120" w:after="40"/>
      </w:pPr>
      <w:r>
        <w:rPr>
          <w:b/>
          <w:sz w:val="21"/>
          <w:shd w:fill="D6E4F0" w:val="clear"/>
        </w:rPr>
        <w:t>易错提醒：</w:t>
      </w:r>
    </w:p>
    <w:p>
      <w:pPr>
        <w:spacing w:line="360" w:lineRule="auto" w:after="40"/>
        <w:ind w:firstLine="420"/>
      </w:pPr>
      <w:r>
        <w:t>教材指出，保险业在洗钱活动中主要涉及integration阶段</w:t>
      </w:r>
      <w:r>
        <w:rPr>
          <w:sz w:val="15"/>
          <w:vertAlign w:val="superscript"/>
        </w:rPr>
        <w:t>P101</w:t>
      </w:r>
      <w:r>
        <w:t>，但这是行业层面的总体风险特征，并不表示每一份保险申请都已进入该阶段。本题仍处于投保申请阶段，尚未发生赔付、退保或理赔，因此只能判断存在保险洗钱风险，不能认定客户已经进入或完成integration。</w:t>
      </w:r>
    </w:p>
    <w:p>
      <w:pPr>
        <w:spacing w:line="360" w:lineRule="auto" w:after="120"/>
      </w:pPr>
      <w:r/>
    </w:p>
    <w:p>
      <w:pPr>
        <w:spacing w:line="360" w:lineRule="auto" w:after="40"/>
      </w:pPr>
      <w:r>
        <w:t>4. Which insurance product is considered the lowest risk for money laundering?</w:t>
      </w:r>
    </w:p>
    <w:p>
      <w:pPr>
        <w:spacing w:line="360" w:lineRule="auto" w:after="20"/>
        <w:ind w:firstLine="283"/>
      </w:pPr>
      <w:r>
        <w:t>A. Annuity contracts</w:t>
      </w:r>
    </w:p>
    <w:p>
      <w:pPr>
        <w:spacing w:line="360" w:lineRule="auto" w:after="20"/>
        <w:ind w:firstLine="283"/>
      </w:pPr>
      <w:r>
        <w:t>B. Permanent life insurance policies</w:t>
      </w:r>
    </w:p>
    <w:p>
      <w:pPr>
        <w:spacing w:line="360" w:lineRule="auto" w:after="20"/>
        <w:ind w:firstLine="283"/>
      </w:pPr>
      <w:r>
        <w:t>C. Group insurance products</w:t>
      </w:r>
    </w:p>
    <w:p>
      <w:pPr>
        <w:spacing w:line="360" w:lineRule="auto" w:after="20"/>
        <w:ind w:firstLine="283"/>
      </w:pPr>
      <w:r>
        <w:t>D. Cash-secured products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根据流动性、现金价值和资金退出方式判断保险产品风险</w:t>
      </w:r>
    </w:p>
    <w:p>
      <w:pPr>
        <w:spacing w:before="120" w:after="40"/>
      </w:pPr>
      <w:r>
        <w:rPr>
          <w:b/>
          <w:sz w:val="21"/>
          <w:shd w:fill="D6E4F0" w:val="clear"/>
        </w:rPr>
        <w:t>核心解析：</w:t>
      </w:r>
    </w:p>
    <w:p>
      <w:pPr>
        <w:spacing w:line="360" w:lineRule="auto" w:after="40"/>
        <w:ind w:firstLine="420"/>
      </w:pPr>
      <w:r>
        <w:t>产品风险应根据产品的复杂性、潜在滥用方式及其对非法活动的吸引力判断</w:t>
      </w:r>
      <w:r>
        <w:rPr>
          <w:sz w:val="15"/>
          <w:vertAlign w:val="superscript"/>
        </w:rPr>
        <w:t>P275</w:t>
      </w:r>
      <w:r>
        <w:t>。保险业通常比银行业洗钱风险低，原因包括</w:t>
      </w:r>
      <w:r>
        <w:rPr>
          <w:b/>
        </w:rPr>
        <w:t>交易流动性较低、产品性质相对简单以及赔付计划结构化</w:t>
      </w:r>
      <w:r>
        <w:rPr>
          <w:sz w:val="15"/>
          <w:vertAlign w:val="superscript"/>
        </w:rPr>
        <w:t>P101</w:t>
      </w:r>
      <w:r>
        <w:t>；但具有高现金价值、灵活缴费方式或能够提前退保套现的保险产品，可能被用于投入非法资金、掩盖资金来源并将其转换为看似合法的保险款项</w:t>
      </w:r>
      <w:r>
        <w:rPr>
          <w:sz w:val="15"/>
          <w:vertAlign w:val="superscript"/>
        </w:rPr>
        <w:t>P101</w:t>
      </w:r>
      <w:r>
        <w:t>。在通常产品结构下，团体保险主要向特定群体提供风险保障，赔付取决于约定的保险事件，单个被保险人将其作为</w:t>
      </w:r>
      <w:r>
        <w:rPr>
          <w:b/>
        </w:rPr>
        <w:t>资金积累和灵活套现工具</w:t>
      </w:r>
      <w:r>
        <w:t>的空间相对较小。因此，C在四项中最符合“低流动性、结构化赔付”的较低风险特征。这是基于产品结构的相对比较，具体风险仍取决于产品条款和实际使用方式。</w:t>
      </w:r>
    </w:p>
    <w:p>
      <w:pPr>
        <w:spacing w:before="120" w:after="40"/>
      </w:pPr>
      <w:r>
        <w:rPr>
          <w:b/>
          <w:sz w:val="21"/>
          <w:shd w:fill="D6E4F0" w:val="clear"/>
        </w:rPr>
        <w:t>教材原句：</w:t>
      </w:r>
    </w:p>
    <w:p>
      <w:pPr>
        <w:spacing w:line="360" w:lineRule="auto" w:after="40"/>
        <w:ind w:firstLine="420"/>
      </w:pPr>
      <w:r>
        <w:t>"The sector’s inherent AML risk is generally lower than that of banking due to less liquid transactions, less complex product nature, and structured payout schedules."</w:t>
      </w:r>
      <w:r>
        <w:rPr>
          <w:sz w:val="15"/>
          <w:vertAlign w:val="superscript"/>
        </w:rPr>
        <w:t>P101</w:t>
      </w:r>
    </w:p>
    <w:p>
      <w:pPr>
        <w:spacing w:before="120" w:after="40"/>
      </w:pPr>
      <w:r>
        <w:rPr>
          <w:b/>
          <w:sz w:val="21"/>
          <w:shd w:fill="D6E4F0" w:val="clear"/>
        </w:rPr>
        <w:t>A项错误：</w:t>
      </w:r>
    </w:p>
    <w:p>
      <w:pPr>
        <w:spacing w:line="360" w:lineRule="auto" w:after="40"/>
        <w:ind w:firstLine="420"/>
      </w:pPr>
      <w:r>
        <w:t>年金合同具有资金积累和未来领取安排，相比以风险保障为主的团体保险，更可能被用于承接和保存较大金额的资金。其风险高低仍取决于具体条款；在本题比较中，年金的资金积累属性与“风险最低”的匹配度不如团体保险。</w:t>
      </w:r>
    </w:p>
    <w:p>
      <w:pPr>
        <w:spacing w:before="120" w:after="40"/>
      </w:pPr>
      <w:r>
        <w:rPr>
          <w:b/>
          <w:sz w:val="21"/>
          <w:shd w:fill="D6E4F0" w:val="clear"/>
        </w:rPr>
        <w:t>B项错误：</w:t>
      </w:r>
    </w:p>
    <w:p>
      <w:pPr>
        <w:spacing w:line="360" w:lineRule="auto" w:after="40"/>
        <w:ind w:firstLine="420"/>
      </w:pPr>
      <w:r>
        <w:t>永久人寿保险通常具有现金价值积累及退保安排，与教材所述“高现金价值”和“提前现金退保”等风险特征更为接近</w:t>
      </w:r>
      <w:r>
        <w:rPr>
          <w:sz w:val="15"/>
          <w:vertAlign w:val="superscript"/>
        </w:rPr>
        <w:t>P101</w:t>
      </w:r>
      <w:r>
        <w:t>。教材也将高额人寿保险列为可能具有较高风险的产品</w:t>
      </w:r>
      <w:r>
        <w:rPr>
          <w:sz w:val="15"/>
          <w:vertAlign w:val="superscript"/>
        </w:rPr>
        <w:t>P101</w:t>
      </w:r>
      <w:r>
        <w:t>，因此其与“风险最低”的匹配度不如团体保险。</w:t>
      </w:r>
    </w:p>
    <w:p>
      <w:pPr>
        <w:spacing w:before="120" w:after="40"/>
      </w:pPr>
      <w:r>
        <w:rPr>
          <w:b/>
          <w:sz w:val="21"/>
          <w:shd w:fill="D6E4F0" w:val="clear"/>
        </w:rPr>
        <w:t>D项错误：</w:t>
      </w:r>
    </w:p>
    <w:p>
      <w:pPr>
        <w:spacing w:line="360" w:lineRule="auto" w:after="40"/>
        <w:ind w:firstLine="420"/>
      </w:pPr>
      <w:r>
        <w:t>cash-secured products（现金担保型产品）这一名称本身不能说明它具有低流动性、结构化赔付等较低风险特征。相比之下，团体保险主要用于特定群体的风险保障，单个被保险人进行资金积累和灵活退出的空间更小，因此C与题干所问的较低洗钱风险更匹配。</w:t>
      </w:r>
    </w:p>
    <w:p>
      <w:pPr>
        <w:spacing w:before="120" w:after="40"/>
      </w:pPr>
      <w:r>
        <w:rPr>
          <w:b/>
          <w:sz w:val="21"/>
          <w:shd w:fill="D6E4F0" w:val="clear"/>
        </w:rPr>
        <w:t>易错提醒：</w:t>
      </w:r>
    </w:p>
    <w:p>
      <w:pPr>
        <w:spacing w:line="360" w:lineRule="auto" w:after="40"/>
        <w:ind w:firstLine="420"/>
      </w:pPr>
      <w:r>
        <w:t>保险行业整体风险较低，不等于所有保险产品风险都低</w:t>
      </w:r>
      <w:r>
        <w:rPr>
          <w:sz w:val="15"/>
          <w:vertAlign w:val="superscript"/>
        </w:rPr>
        <w:t>P101</w:t>
      </w:r>
      <w:r>
        <w:t>。判断具体产品时，应关注它能否灵活投入大额资金、是否积累可赎回的现金价值、是否允许提前退保或快速取回资金、是否允许无关第三方缴费，以及赔付是否依赖固定且可核验的保险事件</w:t>
      </w:r>
      <w:r>
        <w:rPr>
          <w:sz w:val="15"/>
          <w:vertAlign w:val="superscript"/>
        </w:rPr>
        <w:t>P101、P275</w:t>
      </w:r>
      <w:r>
        <w:t>。产品越便于资金投入、积累和提前退出，越容易被用于洗钱；流动性较低且赔付条件结构化的保障型产品，风险通常相对较低。</w:t>
      </w:r>
    </w:p>
    <w:p>
      <w:pPr>
        <w:spacing w:line="360" w:lineRule="auto" w:after="120"/>
      </w:pPr>
      <w:r/>
    </w:p>
    <w:p>
      <w:pPr>
        <w:spacing w:line="360" w:lineRule="auto" w:after="40"/>
      </w:pPr>
      <w:r>
        <w:t>5. Which of the following are common indicators of possible money laundering within the securities industry? (Select two.)</w:t>
      </w:r>
    </w:p>
    <w:p>
      <w:pPr>
        <w:spacing w:line="360" w:lineRule="auto" w:after="20"/>
        <w:ind w:firstLine="283"/>
      </w:pPr>
      <w:r>
        <w:t>A. Receiving securities into an existing brokerage account following the death of a spouse.</w:t>
      </w:r>
    </w:p>
    <w:p>
      <w:pPr>
        <w:spacing w:line="360" w:lineRule="auto" w:after="20"/>
        <w:ind w:firstLine="283"/>
      </w:pPr>
      <w:r>
        <w:t>B. Allowing fixed-income securities to mature.</w:t>
      </w:r>
    </w:p>
    <w:p>
      <w:pPr>
        <w:spacing w:line="360" w:lineRule="auto" w:after="20"/>
        <w:ind w:firstLine="283"/>
      </w:pPr>
      <w:r>
        <w:t>C. Using brokerage accounts like deposit accounts.</w:t>
      </w:r>
    </w:p>
    <w:p>
      <w:pPr>
        <w:spacing w:line="360" w:lineRule="auto" w:after="20"/>
        <w:ind w:firstLine="283"/>
      </w:pPr>
      <w:r>
        <w:t>D. Engaging in transactions involving nominees or third parties.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识别证券行业中滥用账户功能与隐匿身份的洗钱迹象</w:t>
      </w:r>
    </w:p>
    <w:p>
      <w:pPr>
        <w:spacing w:before="120" w:after="40"/>
      </w:pPr>
      <w:r>
        <w:rPr>
          <w:b/>
          <w:sz w:val="21"/>
          <w:shd w:fill="D6E4F0" w:val="clear"/>
        </w:rPr>
        <w:t>核心解析：</w:t>
      </w:r>
    </w:p>
    <w:p>
      <w:pPr>
        <w:spacing w:line="360" w:lineRule="auto" w:after="40"/>
        <w:ind w:firstLine="420"/>
      </w:pPr>
      <w:r>
        <w:t>证券账户的用途应与客户画像、账户目的和预期交易活动一致</w:t>
      </w:r>
      <w:r>
        <w:rPr>
          <w:sz w:val="15"/>
          <w:vertAlign w:val="superscript"/>
        </w:rPr>
        <w:t>P104</w:t>
      </w:r>
      <w:r>
        <w:t>。教材指出，证券行业容易在洗钱的离析和融合阶段被利用，持续监控应识别偏离预期交易模式的异常活动</w:t>
      </w:r>
      <w:r>
        <w:rPr>
          <w:sz w:val="15"/>
          <w:vertAlign w:val="superscript"/>
        </w:rPr>
        <w:t>P104</w:t>
      </w:r>
      <w:r>
        <w:t>。因此，把</w:t>
      </w:r>
      <w:r>
        <w:rPr>
          <w:b/>
        </w:rPr>
        <w:t>经纪账户像存款账户一样用于资金停放或转移</w:t>
      </w:r>
      <w:r>
        <w:t>（C），属于账户功能与预期用途不一致的迹象。</w:t>
      </w:r>
    </w:p>
    <w:p>
      <w:pPr>
        <w:spacing w:line="360" w:lineRule="auto" w:after="40"/>
        <w:ind w:firstLine="420"/>
      </w:pPr>
      <w:r>
        <w:t>教材还指出，资产管理交易常涉及匿名性、复杂产品和第三方</w:t>
      </w:r>
      <w:r>
        <w:rPr>
          <w:sz w:val="15"/>
          <w:vertAlign w:val="superscript"/>
        </w:rPr>
        <w:t>P105</w:t>
      </w:r>
      <w:r>
        <w:t>，托管服务在涉及壳公司或代名人账户时具有固有洗钱风险</w:t>
      </w:r>
      <w:r>
        <w:rPr>
          <w:sz w:val="15"/>
          <w:vertAlign w:val="superscript"/>
        </w:rPr>
        <w:t>P106</w:t>
      </w:r>
      <w:r>
        <w:t>。因此涉及</w:t>
      </w:r>
      <w:r>
        <w:rPr>
          <w:b/>
        </w:rPr>
        <w:t>代名人或第三方的交易</w:t>
      </w:r>
      <w:r>
        <w:t>（D）也是证券行业常见风险指标。应选C、D。</w:t>
      </w:r>
    </w:p>
    <w:p>
      <w:pPr>
        <w:spacing w:before="120" w:after="40"/>
      </w:pPr>
      <w:r>
        <w:rPr>
          <w:b/>
          <w:sz w:val="21"/>
          <w:shd w:fill="D6E4F0" w:val="clear"/>
        </w:rPr>
        <w:t>易错提醒：</w:t>
      </w:r>
    </w:p>
    <w:p>
      <w:pPr>
        <w:spacing w:line="360" w:lineRule="auto" w:after="40"/>
        <w:ind w:firstLine="420"/>
      </w:pPr>
      <w:r>
        <w:t>正常手续不等于洗钱迹象：像配偶去世后转入证券这类生活事件，提醒我们在判断时不能将“合法、合理的生活变化”误判为“可疑行为”。寻找洗钱迹象的关键是看资金流动是否展现出隐藏来源或混淆资金性质的特征（如代名人、功能错配的账户使用习惯）（P104 P106），不能仅因交易涉及第三方或资产转移就作出判断。</w:t>
      </w:r>
    </w:p>
    <w:p>
      <w:pPr>
        <w:spacing w:line="360" w:lineRule="auto" w:after="120"/>
      </w:pPr>
      <w:r/>
    </w:p>
    <w:p>
      <w:pPr>
        <w:spacing w:line="360" w:lineRule="auto" w:after="40"/>
      </w:pPr>
      <w:r>
        <w:t>6. Which of the below would be relevant money laundering red flags for life insurance companies? (Select Two.)</w:t>
      </w:r>
    </w:p>
    <w:p>
      <w:pPr>
        <w:spacing w:line="360" w:lineRule="auto" w:after="20"/>
        <w:ind w:firstLine="283"/>
      </w:pPr>
      <w:r>
        <w:t>A. Paying premiums several years in advance and terminating early for a refund.</w:t>
      </w:r>
    </w:p>
    <w:p>
      <w:pPr>
        <w:spacing w:line="360" w:lineRule="auto" w:after="20"/>
        <w:ind w:firstLine="283"/>
      </w:pPr>
      <w:r>
        <w:t>B. Natural persons having more than one insurance policy.</w:t>
      </w:r>
    </w:p>
    <w:p>
      <w:pPr>
        <w:spacing w:line="360" w:lineRule="auto" w:after="20"/>
        <w:ind w:firstLine="283"/>
      </w:pPr>
      <w:r>
        <w:t>C. High-premium life insurance policies that provide high payouts.</w:t>
      </w:r>
    </w:p>
    <w:p>
      <w:pPr>
        <w:spacing w:line="360" w:lineRule="auto" w:after="20"/>
        <w:ind w:firstLine="283"/>
      </w:pPr>
      <w:r>
        <w:t>D. Frequently switching policies early and accepting surrender penalties.</w:t>
      </w:r>
    </w:p>
    <w:p>
      <w:pPr>
        <w:spacing w:line="360" w:lineRule="auto" w:after="20"/>
        <w:ind w:firstLine="283"/>
      </w:pPr>
      <w:r>
        <w:t>E. Beneficiary payouts to elderly people.</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区分保险产品风险等级与具体洗钱行为警示信号</w:t>
      </w:r>
    </w:p>
    <w:p>
      <w:pPr>
        <w:spacing w:before="120" w:after="40"/>
      </w:pPr>
      <w:r>
        <w:rPr>
          <w:b/>
          <w:sz w:val="21"/>
          <w:shd w:fill="D6E4F0" w:val="clear"/>
        </w:rPr>
        <w:t>核心解析：</w:t>
      </w:r>
    </w:p>
    <w:p>
      <w:pPr>
        <w:spacing w:line="360" w:lineRule="auto" w:after="40"/>
        <w:ind w:firstLine="420"/>
      </w:pPr>
      <w:r>
        <w:t>保险洗钱的警示信号关注客户如何</w:t>
      </w:r>
      <w:r>
        <w:rPr>
          <w:b/>
        </w:rPr>
        <w:t>异常使用保单</w:t>
      </w:r>
      <w:r>
        <w:t>，而不只是保单数量或产品价值。常见红旗包括</w:t>
      </w:r>
      <w:r>
        <w:rPr>
          <w:b/>
        </w:rPr>
        <w:t>冷静期后退保、第三方超额缴费、保单生效后立即理赔和早期现金退保</w:t>
      </w:r>
      <w:r>
        <w:rPr>
          <w:sz w:val="15"/>
          <w:vertAlign w:val="superscript"/>
        </w:rPr>
        <w:t>P101</w:t>
      </w:r>
      <w:r>
        <w:t>。A项所述多年预缴后提前终止并退款，直接体现</w:t>
      </w:r>
      <w:r>
        <w:rPr>
          <w:b/>
        </w:rPr>
        <w:t>提前退保套现</w:t>
      </w:r>
      <w:r>
        <w:t>；D项所述频繁提前更换保单并接受退保罚金，反映客户愿意承受不合理损失来反复转移资金。与其他选项相比，A、D更符合异常使用保单的行为特征。</w:t>
      </w:r>
    </w:p>
    <w:p>
      <w:pPr>
        <w:spacing w:before="120" w:after="40"/>
      </w:pPr>
      <w:r>
        <w:rPr>
          <w:b/>
          <w:sz w:val="21"/>
          <w:shd w:fill="D6E4F0" w:val="clear"/>
        </w:rPr>
        <w:t>教材原句：</w:t>
      </w:r>
    </w:p>
    <w:p>
      <w:pPr>
        <w:spacing w:line="360" w:lineRule="auto" w:after="40"/>
        <w:ind w:firstLine="420"/>
      </w:pPr>
      <w:r>
        <w:t>"Red flags include early termination of policies after the cooling-off period, premium overpayments from third parties, claims filed shortly after the policy becomes effective, and early cash surrenders."</w:t>
      </w:r>
      <w:r>
        <w:rPr>
          <w:sz w:val="15"/>
          <w:vertAlign w:val="superscript"/>
        </w:rPr>
        <w:t>P101</w:t>
      </w:r>
    </w:p>
    <w:p>
      <w:pPr>
        <w:spacing w:before="120" w:after="40"/>
      </w:pPr>
      <w:r>
        <w:rPr>
          <w:b/>
          <w:sz w:val="21"/>
          <w:shd w:fill="D6E4F0" w:val="clear"/>
        </w:rPr>
        <w:t>B项错误：</w:t>
      </w:r>
    </w:p>
    <w:p>
      <w:pPr>
        <w:spacing w:line="360" w:lineRule="auto" w:after="40"/>
        <w:ind w:firstLine="420"/>
      </w:pPr>
      <w:r>
        <w:t>持有多份保单可以出于合理的财务或保障规划；如果没有提前退保、第三方代缴或异常理赔等行为，保单数量本身不构成洗钱警示信号。</w:t>
      </w:r>
    </w:p>
    <w:p>
      <w:pPr>
        <w:spacing w:before="120" w:after="40"/>
      </w:pPr>
      <w:r>
        <w:rPr>
          <w:b/>
          <w:sz w:val="21"/>
          <w:shd w:fill="D6E4F0" w:val="clear"/>
        </w:rPr>
        <w:t>C项错误：</w:t>
      </w:r>
    </w:p>
    <w:p>
      <w:pPr>
        <w:spacing w:line="360" w:lineRule="auto" w:after="40"/>
        <w:ind w:firstLine="420"/>
      </w:pPr>
      <w:r>
        <w:t>高额人寿保险属于需要提高关注的产品类别，但高保费、高赔付本身没有体现提前退保、第三方代缴或异常理赔等客户行为，风险指示性弱于A、D。</w:t>
      </w:r>
    </w:p>
    <w:p>
      <w:pPr>
        <w:spacing w:before="120" w:after="40"/>
      </w:pPr>
      <w:r>
        <w:rPr>
          <w:b/>
          <w:sz w:val="21"/>
          <w:shd w:fill="D6E4F0" w:val="clear"/>
        </w:rPr>
        <w:t>E项错误：</w:t>
      </w:r>
    </w:p>
    <w:p>
      <w:pPr>
        <w:spacing w:line="360" w:lineRule="auto" w:after="40"/>
        <w:ind w:firstLine="420"/>
      </w:pPr>
      <w:r>
        <w:t>向老年受益人支付保险金属于正常业务操作；题干没有给出受益人身份异常、资金流向可疑或理赔时间反常等事实。</w:t>
      </w:r>
    </w:p>
    <w:p>
      <w:pPr>
        <w:spacing w:before="120" w:after="40"/>
      </w:pPr>
      <w:r>
        <w:rPr>
          <w:b/>
          <w:sz w:val="21"/>
          <w:shd w:fill="D6E4F0" w:val="clear"/>
        </w:rPr>
        <w:t>易错提醒：</w:t>
      </w:r>
    </w:p>
    <w:p>
      <w:pPr>
        <w:spacing w:line="360" w:lineRule="auto" w:after="40"/>
        <w:ind w:firstLine="420"/>
      </w:pPr>
      <w:r>
        <w:t>高风险产品（如高额人寿保险）是风险评估中对产品本身的分类，而洗钱警示信号是客户实际操作中的异常行为模式</w:t>
      </w:r>
      <w:r>
        <w:rPr>
          <w:sz w:val="15"/>
          <w:vertAlign w:val="superscript"/>
        </w:rPr>
        <w:t>P101</w:t>
      </w:r>
      <w:r>
        <w:t>。前者回答“什么产品容易被利用”，后者回答“客户正在做什么可疑的事”。本题考的是警示信号，不是产品风险等级。</w:t>
      </w:r>
    </w:p>
    <w:p>
      <w:pPr>
        <w:spacing w:line="360" w:lineRule="auto" w:after="120"/>
      </w:pPr>
      <w:r/>
    </w:p>
    <w:p>
      <w:pPr>
        <w:spacing w:line="360" w:lineRule="auto" w:after="40"/>
      </w:pPr>
      <w:r>
        <w:t>7. According to the Financial Action Task Force's (FATF's) Guidance for a Risk Based Approach: Life Insurance Sector, which of the following are money laundering red flags relating to the involvement of a third party in a life insurance product? (Select Two.)</w:t>
      </w:r>
    </w:p>
    <w:p>
      <w:pPr>
        <w:spacing w:line="360" w:lineRule="auto" w:after="20"/>
        <w:ind w:firstLine="283"/>
      </w:pPr>
      <w:r>
        <w:t>A. A customer engages an attorney to consult on the issuance of the policy</w:t>
      </w:r>
    </w:p>
    <w:p>
      <w:pPr>
        <w:spacing w:line="360" w:lineRule="auto" w:after="20"/>
        <w:ind w:firstLine="283"/>
      </w:pPr>
      <w:r>
        <w:t>B. A customer transfers the policy to another insurance company unaffiliated with the original policy issuer</w:t>
      </w:r>
    </w:p>
    <w:p>
      <w:pPr>
        <w:spacing w:line="360" w:lineRule="auto" w:after="20"/>
        <w:ind w:firstLine="283"/>
      </w:pPr>
      <w:r>
        <w:t>C. Payments are regularly received from third parties that have no apparent relationship with the policyholder</w:t>
      </w:r>
    </w:p>
    <w:p>
      <w:pPr>
        <w:spacing w:line="360" w:lineRule="auto" w:after="20"/>
        <w:ind w:firstLine="283"/>
      </w:pPr>
      <w:r>
        <w:t>D. A customer names an apparently unrelated third party as a beneficiary</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识别保险业务中涉及第三方的洗钱红旗信号</w:t>
      </w:r>
    </w:p>
    <w:p>
      <w:pPr>
        <w:spacing w:before="120" w:after="40"/>
      </w:pPr>
      <w:r>
        <w:rPr>
          <w:b/>
          <w:sz w:val="21"/>
          <w:shd w:fill="D6E4F0" w:val="clear"/>
        </w:rPr>
        <w:t>核心解析：</w:t>
      </w:r>
    </w:p>
    <w:p>
      <w:pPr>
        <w:spacing w:line="360" w:lineRule="auto" w:after="40"/>
        <w:ind w:firstLine="420"/>
      </w:pPr>
      <w:r>
        <w:t>保险产品洗钱的核心风险之一在于引入与保单本身无直接经济关联的第三方来掩盖资金来源或转移非法收益。教材将“</w:t>
      </w:r>
      <w:r>
        <w:rPr>
          <w:b/>
        </w:rPr>
        <w:t>无关联第三方代缴保费</w:t>
      </w:r>
      <w:r>
        <w:t>”明确列为犯罪分子利用保险产品的方式之一</w:t>
      </w:r>
      <w:r>
        <w:rPr>
          <w:sz w:val="15"/>
          <w:vertAlign w:val="superscript"/>
        </w:rPr>
        <w:t>P101</w:t>
      </w:r>
      <w:r>
        <w:t>，并指出“来自第三方的超额保费支付”是保险洗钱的红旗信号</w:t>
      </w:r>
      <w:r>
        <w:rPr>
          <w:sz w:val="15"/>
          <w:vertAlign w:val="superscript"/>
        </w:rPr>
        <w:t>P101</w:t>
      </w:r>
      <w:r>
        <w:t>。选项C“经常收到与保单持有人无明显关系的第三方支付款项”直接吻合这两个定义——第三方持续代缴保费本身缺乏合理的经济解释，构成对非法资金注入金融体系的典型警示。选项D“客户指定一个</w:t>
      </w:r>
      <w:r>
        <w:rPr>
          <w:b/>
        </w:rPr>
        <w:t>显然不相关的第三方为受益人</w:t>
      </w:r>
      <w:r>
        <w:t>”则属于保单权利归属的异常安排。正常保险消费中，受益人与投保人之间存在可解释的保险利益关系（如家庭成员、债务关系或商业合伙）；当受益人“显然不相关”时，该安排更可能服务于隐藏实际控制人或转移死亡赔付的洗钱目的。两项分别对应FATF关注的“第三方出资”和“第三方受益”两种独立的洗钱场景，共同覆盖涉及第三方参与人寿保险产品的完整风险维度。</w:t>
      </w:r>
    </w:p>
    <w:p>
      <w:pPr>
        <w:spacing w:before="120" w:after="40"/>
      </w:pPr>
      <w:r>
        <w:rPr>
          <w:b/>
          <w:sz w:val="21"/>
          <w:shd w:fill="D6E4F0" w:val="clear"/>
        </w:rPr>
        <w:t>教材原句：</w:t>
      </w:r>
    </w:p>
    <w:p>
      <w:pPr>
        <w:spacing w:line="360" w:lineRule="auto" w:after="40"/>
        <w:ind w:firstLine="420"/>
      </w:pPr>
      <w:r>
        <w:t>"Criminals might exploit these products by making large, irregular premium payments, cashing out policies prematurely, or having an unrelated third party make the payments for the policy itself."</w:t>
      </w:r>
    </w:p>
    <w:p>
      <w:pPr>
        <w:spacing w:line="360" w:lineRule="auto" w:after="120"/>
      </w:pPr>
      <w:r/>
    </w:p>
    <w:p>
      <w:pPr>
        <w:spacing w:line="360" w:lineRule="auto" w:after="40"/>
      </w:pPr>
      <w:r>
        <w:t>8. Which of the following risk factors are commonly associated with money laundering in insurance products? (Choose two.)</w:t>
      </w:r>
    </w:p>
    <w:p>
      <w:pPr>
        <w:spacing w:line="360" w:lineRule="auto" w:after="20"/>
        <w:ind w:firstLine="283"/>
      </w:pPr>
      <w:r>
        <w:t>A. Surrendering a policy early to liquidate funds</w:t>
      </w:r>
    </w:p>
    <w:p>
      <w:pPr>
        <w:spacing w:line="360" w:lineRule="auto" w:after="20"/>
        <w:ind w:firstLine="283"/>
      </w:pPr>
      <w:r>
        <w:t>B. Focusing excessively on the investment performance of an insurance product</w:t>
      </w:r>
    </w:p>
    <w:p>
      <w:pPr>
        <w:spacing w:line="360" w:lineRule="auto" w:after="20"/>
        <w:ind w:firstLine="283"/>
      </w:pPr>
      <w:r>
        <w:t>C. Using a credit card to purchase an insurance policy</w:t>
      </w:r>
    </w:p>
    <w:p>
      <w:pPr>
        <w:spacing w:line="360" w:lineRule="auto" w:after="20"/>
        <w:ind w:firstLine="283"/>
      </w:pPr>
      <w:r>
        <w:t>D. Having an unrelated third party pay large or excessive premiums for the insurance policy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识别保险产品洗钱中涉及</w:t>
      </w:r>
      <w:r>
        <w:rPr>
          <w:b/>
        </w:rPr>
        <w:t>资金变现和来源掩盖</w:t>
      </w:r>
      <w:r>
        <w:t>的风险因素</w:t>
      </w:r>
    </w:p>
    <w:p>
      <w:pPr>
        <w:spacing w:before="120" w:after="40"/>
      </w:pPr>
      <w:r>
        <w:rPr>
          <w:b/>
          <w:sz w:val="21"/>
          <w:shd w:fill="D6E4F0" w:val="clear"/>
        </w:rPr>
        <w:t>核心解析：</w:t>
      </w:r>
    </w:p>
    <w:p>
      <w:pPr>
        <w:spacing w:line="360" w:lineRule="auto" w:after="40"/>
        <w:ind w:firstLine="420"/>
      </w:pPr>
      <w:r>
        <w:t>教材明确指出，犯罪分子可能通过</w:t>
      </w:r>
      <w:r>
        <w:rPr>
          <w:b/>
        </w:rPr>
        <w:t>“提前退保”“大额不规则缴费”或“由无关第三方代缴保费”</w:t>
      </w:r>
      <w:r>
        <w:t>来利用保险产品，保险洗钱的红旗信号包括“早期现金退保”和“第三方超额缴费”</w:t>
      </w:r>
      <w:r>
        <w:rPr>
          <w:sz w:val="15"/>
          <w:vertAlign w:val="superscript"/>
        </w:rPr>
        <w:t>P101</w:t>
      </w:r>
      <w:r>
        <w:t>。选项A“提前退保以变现资金”直接对应将资金转化为现金的风险。选项D“由与投保人无关的第三方支付大额或超额保费”直接对应第三方付款和异常缴费风险。两者在给定选项中更直接地对应保险洗钱的资金变现或来源掩盖风险。</w:t>
      </w:r>
    </w:p>
    <w:p>
      <w:pPr>
        <w:spacing w:before="120" w:after="40"/>
      </w:pPr>
      <w:r>
        <w:rPr>
          <w:b/>
          <w:sz w:val="21"/>
          <w:shd w:fill="D6E4F0" w:val="clear"/>
        </w:rPr>
        <w:t>教材原句：</w:t>
      </w:r>
    </w:p>
    <w:p>
      <w:pPr>
        <w:spacing w:line="360" w:lineRule="auto" w:after="40"/>
        <w:ind w:firstLine="420"/>
      </w:pPr>
      <w:r>
        <w:t>"Criminals might exploit these products by making large, irregular premium payments, cashing out policies prematurely, or having an unrelated third party make the payments for the policy itself."</w:t>
      </w:r>
    </w:p>
    <w:p>
      <w:pPr>
        <w:spacing w:before="120" w:after="40"/>
      </w:pPr>
      <w:r>
        <w:rPr>
          <w:b/>
          <w:sz w:val="21"/>
          <w:shd w:fill="D6E4F0" w:val="clear"/>
        </w:rPr>
        <w:t>B项错误：</w:t>
      </w:r>
    </w:p>
    <w:p>
      <w:pPr>
        <w:spacing w:line="360" w:lineRule="auto" w:after="40"/>
        <w:ind w:firstLine="420"/>
      </w:pPr>
      <w:r>
        <w:t>对投资表现的过度关注通常更多地指向“欺诈”而非洗钱风险。投资连结保险（ILI）的红旗信号包括所有权冲突和不切实际的回报，但这类表现主要提示潜在欺诈。洗钱风险则更关注非法资金的投入、掩盖和变现，因此A和D更符合本题侧重点。</w:t>
      </w:r>
    </w:p>
    <w:p>
      <w:pPr>
        <w:spacing w:before="120" w:after="40"/>
      </w:pPr>
      <w:r>
        <w:rPr>
          <w:b/>
          <w:sz w:val="21"/>
          <w:shd w:fill="D6E4F0" w:val="clear"/>
        </w:rPr>
        <w:t>C项错误：</w:t>
      </w:r>
    </w:p>
    <w:p>
      <w:pPr>
        <w:spacing w:line="360" w:lineRule="auto" w:after="40"/>
        <w:ind w:firstLine="420"/>
      </w:pPr>
      <w:r>
        <w:t>使用信用卡购买保单本身可以是常规支付行为，单独出现时不足以构成保险洗钱红旗。相比之下，无关第三方代缴大额或超额保费更直接对应教材所列的保险产品洗钱风险</w:t>
      </w:r>
      <w:r>
        <w:rPr>
          <w:sz w:val="15"/>
          <w:vertAlign w:val="superscript"/>
        </w:rPr>
        <w:t>P101</w:t>
      </w:r>
      <w:r>
        <w:t>。</w:t>
      </w:r>
    </w:p>
    <w:p>
      <w:pPr>
        <w:spacing w:before="120" w:after="40"/>
      </w:pPr>
      <w:r>
        <w:rPr>
          <w:b/>
          <w:sz w:val="21"/>
          <w:shd w:fill="D6E4F0" w:val="clear"/>
        </w:rPr>
        <w:t>易错提醒：</w:t>
      </w:r>
    </w:p>
    <w:p>
      <w:pPr>
        <w:spacing w:line="360" w:lineRule="auto" w:after="40"/>
        <w:ind w:firstLine="420"/>
      </w:pPr>
      <w:r>
        <w:t>警惕“欺诈”与“洗钱”的混淆。如果嫌疑人对投资回报的关心远超对理赔保障的关心，这可能是投资欺诈信号。洗钱则涉及</w:t>
      </w:r>
      <w:r>
        <w:rPr>
          <w:b/>
        </w:rPr>
        <w:t>掩盖或转化非法资金</w:t>
      </w:r>
      <w:r>
        <w:t>，因此应关注“提前退保套现”“大额不规则缴费”或“无关第三方代缴保费”等行为</w:t>
      </w:r>
      <w:r>
        <w:rPr>
          <w:sz w:val="15"/>
          <w:vertAlign w:val="superscript"/>
        </w:rPr>
        <w:t>P101</w:t>
      </w:r>
      <w:r>
        <w:t>；单一支付工具或行为仍需结合其他事实判断。</w:t>
      </w:r>
    </w:p>
    <w:p>
      <w:pPr>
        <w:spacing w:line="360" w:lineRule="auto" w:after="120"/>
      </w:pPr>
      <w:r/>
    </w:p>
    <w:p>
      <w:pPr>
        <w:spacing w:line="360" w:lineRule="auto" w:after="40"/>
      </w:pPr>
      <w:r>
        <w:t>9. The money laundering reporting officer (MLRO) of a life insurance company is reviewing the product risk assessment methodology. Which of the following attributes of life insurance products would be attributed a higher risk rating? (Select three.)</w:t>
      </w:r>
    </w:p>
    <w:p>
      <w:pPr>
        <w:spacing w:line="360" w:lineRule="auto" w:after="20"/>
        <w:ind w:firstLine="283"/>
      </w:pPr>
      <w:r>
        <w:t>A. Annuity products that allow large, irregular premium payments and accumulation of value</w:t>
      </w:r>
    </w:p>
    <w:p>
      <w:pPr>
        <w:spacing w:line="360" w:lineRule="auto" w:after="20"/>
        <w:ind w:firstLine="283"/>
      </w:pPr>
      <w:r>
        <w:t>B. Products that allow the option to change the nominated beneficiary after the commencement of the policy</w:t>
      </w:r>
    </w:p>
    <w:p>
      <w:pPr>
        <w:spacing w:line="360" w:lineRule="auto" w:after="20"/>
        <w:ind w:firstLine="283"/>
      </w:pPr>
      <w:r>
        <w:t>C. Products with international health insurance coverage</w:t>
      </w:r>
    </w:p>
    <w:p>
      <w:pPr>
        <w:spacing w:line="360" w:lineRule="auto" w:after="20"/>
        <w:ind w:firstLine="283"/>
      </w:pPr>
      <w:r>
        <w:t>D. Products that allow for a cash surrender value</w:t>
      </w:r>
    </w:p>
    <w:p>
      <w:pPr>
        <w:spacing w:line="360" w:lineRule="auto" w:after="20"/>
        <w:ind w:firstLine="283"/>
      </w:pPr>
      <w:r>
        <w:t>E. Products that restrict the transfer of funds from one policy to another</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按人寿保险产品的</w:t>
      </w:r>
      <w:r>
        <w:rPr>
          <w:b/>
        </w:rPr>
        <w:t>资金积累</w:t>
      </w:r>
      <w:r>
        <w:t>、</w:t>
      </w:r>
      <w:r>
        <w:rPr>
          <w:b/>
        </w:rPr>
        <w:t>受益人可变性</w:t>
      </w:r>
      <w:r>
        <w:t>和</w:t>
      </w:r>
      <w:r>
        <w:rPr>
          <w:b/>
        </w:rPr>
        <w:t>现金价值</w:t>
      </w:r>
      <w:r>
        <w:t>评估固有风险。</w:t>
      </w:r>
    </w:p>
    <w:p>
      <w:pPr>
        <w:spacing w:before="120" w:after="40"/>
      </w:pPr>
      <w:r>
        <w:rPr>
          <w:b/>
          <w:sz w:val="21"/>
          <w:shd w:fill="D6E4F0" w:val="clear"/>
        </w:rPr>
        <w:t>核心解析：</w:t>
      </w:r>
    </w:p>
    <w:p>
      <w:pPr>
        <w:spacing w:line="360" w:lineRule="auto" w:after="40"/>
        <w:ind w:firstLine="420"/>
      </w:pPr>
      <w:r>
        <w:rPr>
          <w:b/>
        </w:rPr>
        <w:t>高现金价值</w:t>
      </w:r>
      <w:r>
        <w:t>、</w:t>
      </w:r>
      <w:r>
        <w:rPr>
          <w:b/>
        </w:rPr>
        <w:t>灵活缴费</w:t>
      </w:r>
      <w:r>
        <w:t>或</w:t>
      </w:r>
      <w:r>
        <w:rPr>
          <w:b/>
        </w:rPr>
        <w:t>灵活改变资金受益安排</w:t>
      </w:r>
      <w:r>
        <w:t>的保险产品更容易被用于掩盖资金来源</w:t>
      </w:r>
      <w:r>
        <w:rPr>
          <w:sz w:val="15"/>
          <w:vertAlign w:val="superscript"/>
        </w:rPr>
        <w:t>P101</w:t>
      </w:r>
      <w:r>
        <w:t>。A允许大额不规则缴费并具有资金积累功能，直接对应保险产品可被用于投入和保存资金的风险；B允许保单生效后变更受益人，增加资金最终归属的灵活性；D允许现金退保价值，能把非法投入较快转换为可支配现金。C的国际健康保障并不当然意味着具有现金价值或可转移性，E反而限制保单间资金转移。</w:t>
      </w:r>
    </w:p>
    <w:p>
      <w:pPr>
        <w:spacing w:before="120" w:after="40"/>
      </w:pPr>
      <w:r>
        <w:rPr>
          <w:b/>
          <w:sz w:val="21"/>
          <w:shd w:fill="D6E4F0" w:val="clear"/>
        </w:rPr>
        <w:t>C项错误：</w:t>
      </w:r>
    </w:p>
    <w:p>
      <w:pPr>
        <w:spacing w:line="360" w:lineRule="auto" w:after="40"/>
        <w:ind w:firstLine="420"/>
      </w:pPr>
      <w:r>
        <w:t>跨境属性可能增加尽调复杂度，但仅有国际健康保障不足以证明其具有保险洗钱的核心产品特征。</w:t>
      </w:r>
    </w:p>
    <w:p>
      <w:pPr>
        <w:spacing w:before="120" w:after="40"/>
      </w:pPr>
      <w:r>
        <w:rPr>
          <w:b/>
          <w:sz w:val="21"/>
          <w:shd w:fill="D6E4F0" w:val="clear"/>
        </w:rPr>
        <w:t>E项错误：</w:t>
      </w:r>
    </w:p>
    <w:p>
      <w:pPr>
        <w:spacing w:line="360" w:lineRule="auto" w:after="40"/>
        <w:ind w:firstLine="420"/>
      </w:pPr>
      <w:r>
        <w:t>限制资金转移是降低流动性和滥用空间的控制性属性。</w:t>
      </w:r>
    </w:p>
    <w:p>
      <w:pPr>
        <w:spacing w:before="120" w:after="40"/>
      </w:pPr>
      <w:r>
        <w:rPr>
          <w:b/>
          <w:sz w:val="21"/>
          <w:shd w:fill="D6E4F0" w:val="clear"/>
        </w:rPr>
        <w:t>易错提醒：</w:t>
      </w:r>
    </w:p>
    <w:p>
      <w:pPr>
        <w:spacing w:line="360" w:lineRule="auto" w:after="40"/>
        <w:ind w:firstLine="420"/>
      </w:pPr>
      <w:r>
        <w:t>重点看产品能否灵活改变受益人、快速变现或转移资金</w:t>
      </w:r>
      <w:r>
        <w:rPr>
          <w:sz w:val="15"/>
          <w:vertAlign w:val="superscript"/>
        </w:rPr>
        <w:t>P101</w:t>
      </w:r>
      <w:r>
        <w:t>，而不是只看是否跨境。</w:t>
      </w:r>
    </w:p>
    <w:p>
      <w:pPr>
        <w:spacing w:line="360" w:lineRule="auto" w:after="120"/>
      </w:pPr>
      <w:r/>
    </w:p>
    <w:p>
      <w:pPr>
        <w:spacing w:line="360" w:lineRule="auto" w:after="40"/>
      </w:pPr>
      <w:r>
        <w:t>10. Which of the following are common indicators of possible money laundering within the securities industry? (Choose two.)</w:t>
      </w:r>
    </w:p>
    <w:p>
      <w:pPr>
        <w:spacing w:line="360" w:lineRule="auto" w:after="20"/>
        <w:ind w:firstLine="283"/>
      </w:pPr>
      <w:r>
        <w:t>A. Using brokerage accounts like deposit accounts.</w:t>
      </w:r>
    </w:p>
    <w:p>
      <w:pPr>
        <w:spacing w:line="360" w:lineRule="auto" w:after="20"/>
        <w:ind w:firstLine="283"/>
      </w:pPr>
      <w:r>
        <w:t>B. Receiving securities into an existing brokerage account following the death of a spouse.</w:t>
      </w:r>
    </w:p>
    <w:p>
      <w:pPr>
        <w:spacing w:line="360" w:lineRule="auto" w:after="20"/>
        <w:ind w:firstLine="283"/>
      </w:pPr>
      <w:r>
        <w:t>C. Allowing fixed income securities to mature.</w:t>
      </w:r>
    </w:p>
    <w:p>
      <w:pPr>
        <w:spacing w:line="360" w:lineRule="auto" w:after="20"/>
        <w:ind w:firstLine="283"/>
      </w:pPr>
      <w:r>
        <w:t>D. Engaging in transactions involving nominees or third parties.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识别证券经纪账户</w:t>
      </w:r>
      <w:r>
        <w:rPr>
          <w:b/>
        </w:rPr>
        <w:t>用途异化</w:t>
      </w:r>
      <w:r>
        <w:t>和</w:t>
      </w:r>
      <w:r>
        <w:rPr>
          <w:b/>
        </w:rPr>
        <w:t>第三方/名义人交易风险</w:t>
      </w:r>
      <w:r>
        <w:t>。</w:t>
      </w:r>
    </w:p>
    <w:p>
      <w:pPr>
        <w:spacing w:before="120" w:after="40"/>
      </w:pPr>
      <w:r>
        <w:rPr>
          <w:b/>
          <w:sz w:val="21"/>
          <w:shd w:fill="D6E4F0" w:val="clear"/>
        </w:rPr>
        <w:t>核心解析：</w:t>
      </w:r>
    </w:p>
    <w:p>
      <w:pPr>
        <w:spacing w:line="360" w:lineRule="auto" w:after="40"/>
        <w:ind w:firstLine="420"/>
      </w:pPr>
      <w:r>
        <w:t>证券业在洗钱的</w:t>
      </w:r>
      <w:r>
        <w:rPr>
          <w:b/>
        </w:rPr>
        <w:t>离析和融合阶段</w:t>
      </w:r>
      <w:r>
        <w:t>尤其脆弱</w:t>
      </w:r>
      <w:r>
        <w:rPr>
          <w:sz w:val="15"/>
          <w:vertAlign w:val="superscript"/>
        </w:rPr>
        <w:t>P104</w:t>
      </w:r>
      <w:r>
        <w:t>。A项将经纪账户当作存款账户使用，说明账户</w:t>
      </w:r>
      <w:r>
        <w:rPr>
          <w:b/>
        </w:rPr>
        <w:t>偏离投资用途</w:t>
      </w:r>
      <w:r>
        <w:t>而被用于存放或转移资金；D项所述与代名人或第三方交易，会</w:t>
      </w:r>
      <w:r>
        <w:rPr>
          <w:b/>
        </w:rPr>
        <w:t>隐藏真实所有权</w:t>
      </w:r>
      <w:r>
        <w:t>并增加追踪难度，尤其涉及名义账户或壳公司时。</w:t>
      </w:r>
    </w:p>
    <w:p>
      <w:pPr>
        <w:spacing w:before="120" w:after="40"/>
      </w:pPr>
      <w:r>
        <w:rPr>
          <w:b/>
          <w:sz w:val="21"/>
          <w:shd w:fill="D6E4F0" w:val="clear"/>
        </w:rPr>
        <w:t>B项错误：</w:t>
      </w:r>
    </w:p>
    <w:p>
      <w:pPr>
        <w:spacing w:line="360" w:lineRule="auto" w:after="40"/>
        <w:ind w:firstLine="420"/>
      </w:pPr>
      <w:r>
        <w:t>配偶去世后的证券转移有正常遗产安排解释，题干没有附加异常事实。</w:t>
      </w:r>
    </w:p>
    <w:p>
      <w:pPr>
        <w:spacing w:before="120" w:after="40"/>
      </w:pPr>
      <w:r>
        <w:rPr>
          <w:b/>
          <w:sz w:val="21"/>
          <w:shd w:fill="D6E4F0" w:val="clear"/>
        </w:rPr>
        <w:t>C项错误：</w:t>
      </w:r>
    </w:p>
    <w:p>
      <w:pPr>
        <w:spacing w:line="360" w:lineRule="auto" w:after="40"/>
        <w:ind w:firstLine="420"/>
      </w:pPr>
      <w:r>
        <w:t>固定收益证券到期属于正常投资行为，不体现账户用途异化或所有权隐藏。</w:t>
      </w:r>
    </w:p>
    <w:p>
      <w:pPr>
        <w:spacing w:before="120" w:after="40"/>
      </w:pPr>
      <w:r>
        <w:rPr>
          <w:b/>
          <w:sz w:val="21"/>
          <w:shd w:fill="D6E4F0" w:val="clear"/>
        </w:rPr>
        <w:t>易错提醒：</w:t>
      </w:r>
    </w:p>
    <w:p>
      <w:pPr>
        <w:spacing w:line="360" w:lineRule="auto" w:after="40"/>
        <w:ind w:firstLine="420"/>
      </w:pPr>
      <w:r>
        <w:t>判断证券业红旗时，重点看账户是否偏离投资目的、是否出现不透明的第三方或名义人</w:t>
      </w:r>
      <w:r>
        <w:rPr>
          <w:sz w:val="15"/>
          <w:vertAlign w:val="superscript"/>
        </w:rPr>
        <w:t>P104</w:t>
      </w:r>
      <w:r>
        <w:t>，而不是把所有资产转移都视为洗钱。</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