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CH04 (EN)</w:t>
      </w:r>
    </w:p>
    <w:p>
      <w:pPr>
        <w:spacing w:line="360" w:lineRule="auto" w:after="160"/>
      </w:pPr>
      <w:r>
        <w:t>一、单项选择题</w:t>
      </w:r>
    </w:p>
    <w:p>
      <w:pPr>
        <w:spacing w:line="360" w:lineRule="auto" w:after="40"/>
      </w:pPr>
      <w:r>
        <w:t>1. Which operational situation might indicate that money laundering is occurring at or through a deposit-taking financial institution?</w:t>
      </w:r>
    </w:p>
    <w:p>
      <w:pPr>
        <w:spacing w:line="360" w:lineRule="auto" w:after="20"/>
        <w:ind w:firstLine="283"/>
      </w:pPr>
      <w:r>
        <w:t>A. The institution has observed an increase in customer demand for large-denomination banknotes</w:t>
      </w:r>
    </w:p>
    <w:p>
      <w:pPr>
        <w:spacing w:line="360" w:lineRule="auto" w:after="20"/>
        <w:ind w:firstLine="283"/>
      </w:pPr>
      <w:r>
        <w:t>B. The institution maintains a sequentially numbered log of the monetary instruments it sells</w:t>
      </w:r>
    </w:p>
    <w:p>
      <w:pPr>
        <w:spacing w:line="360" w:lineRule="auto" w:after="20"/>
        <w:ind w:firstLine="283"/>
      </w:pPr>
      <w:r>
        <w:t>C. The institution has observed a reduced settlement time in the transaction services that support the rapid movement or remittance of funds</w:t>
      </w:r>
    </w:p>
    <w:p>
      <w:pPr>
        <w:spacing w:line="360" w:lineRule="auto" w:after="20"/>
        <w:ind w:firstLine="283"/>
      </w:pPr>
      <w:r>
        <w:t>D. The institution has observed an increase in the adoption of its digital products and services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识别大额现金交易作为洗钱活动的可疑指标</w:t>
      </w:r>
    </w:p>
    <w:p>
      <w:pPr>
        <w:spacing w:before="120" w:after="40"/>
      </w:pPr>
      <w:r>
        <w:rPr>
          <w:b/>
          <w:sz w:val="21"/>
          <w:shd w:fill="D6E4F0" w:val="clear"/>
        </w:rPr>
        <w:t>核心解析：</w:t>
      </w:r>
    </w:p>
    <w:p>
      <w:pPr>
        <w:spacing w:line="360" w:lineRule="auto" w:after="40"/>
        <w:ind w:firstLine="420"/>
      </w:pPr>
      <w:r>
        <w:t>教材指出，</w:t>
      </w:r>
      <w:r>
        <w:rPr>
          <w:b/>
        </w:rPr>
        <w:t>大额现金交易可能表明潜在的非法活动</w:t>
      </w:r>
      <w:r>
        <w:rPr>
          <w:sz w:val="15"/>
          <w:vertAlign w:val="superscript"/>
        </w:rPr>
        <w:t>P137</w:t>
      </w:r>
      <w:r>
        <w:t>。题干问吸收存款的金融机构内部或通过该机构出现哪种运营情况可能指示洗钱活动。选项A描述客户对大面额钞票的需求增加，虽然不等同于已经发生大额现金交易，但在给定选项中最接近大额现金活动的异常信号。相较于正常业务活动，突然增长的</w:t>
      </w:r>
      <w:r>
        <w:rPr>
          <w:b/>
        </w:rPr>
        <w:t>大面额钞票需求</w:t>
      </w:r>
      <w:r>
        <w:t>与教材所述风险方向一致，因此从运营情况角度最直接指向洗钱风险。</w:t>
      </w:r>
    </w:p>
    <w:p>
      <w:pPr>
        <w:spacing w:before="120" w:after="40"/>
      </w:pPr>
      <w:r>
        <w:rPr>
          <w:b/>
          <w:sz w:val="21"/>
          <w:shd w:fill="D6E4F0" w:val="clear"/>
        </w:rPr>
        <w:t>教材原句：</w:t>
      </w:r>
    </w:p>
    <w:p>
      <w:pPr>
        <w:spacing w:line="360" w:lineRule="auto" w:after="40"/>
        <w:ind w:firstLine="420"/>
      </w:pPr>
      <w:r>
        <w:t>"Substantial cash transactions, which might indicate potential illicit activities."</w:t>
      </w:r>
    </w:p>
    <w:p>
      <w:pPr>
        <w:spacing w:before="120" w:after="40"/>
      </w:pPr>
      <w:r>
        <w:rPr>
          <w:b/>
          <w:sz w:val="21"/>
          <w:shd w:fill="D6E4F0" w:val="clear"/>
        </w:rPr>
        <w:t>B项错误：</w:t>
      </w:r>
    </w:p>
    <w:p>
      <w:pPr>
        <w:spacing w:line="360" w:lineRule="auto" w:after="40"/>
        <w:ind w:firstLine="420"/>
      </w:pPr>
      <w:r>
        <w:t>选项B所述“保存按顺序编号的所售货币工具登记簿”属于机构自身的合规与记录保存措施，而非客户引发的可疑运营情况。题干考查的是可能指示洗钱的外部异常迹象，而B项描述的是内控要求，与题干所需的风险指标性质不匹配。</w:t>
      </w:r>
    </w:p>
    <w:p>
      <w:pPr>
        <w:spacing w:before="120" w:after="40"/>
      </w:pPr>
      <w:r>
        <w:rPr>
          <w:b/>
          <w:sz w:val="21"/>
          <w:shd w:fill="D6E4F0" w:val="clear"/>
        </w:rPr>
        <w:t>C项错误：</w:t>
      </w:r>
    </w:p>
    <w:p>
      <w:pPr>
        <w:spacing w:line="360" w:lineRule="auto" w:after="40"/>
        <w:ind w:firstLine="420"/>
      </w:pPr>
      <w:r>
        <w:t>选项C的“资金快速转移或汇款服务中结算时间缩短”可能是技术升级或效率提升的结果，教材在区块链技术特性中提及更快结算</w:t>
      </w:r>
      <w:r>
        <w:rPr>
          <w:sz w:val="15"/>
          <w:vertAlign w:val="superscript"/>
        </w:rPr>
        <w:t>P110</w:t>
      </w:r>
      <w:r>
        <w:t>，但并未将该现象列为洗钱风险指标。相比之下，选项A涉及的大额现金交易在教材中直接被界定为可能指示非法活动的信号，因此C不如A直接对应教材的洗钱识别框架。</w:t>
      </w:r>
    </w:p>
    <w:p>
      <w:pPr>
        <w:spacing w:before="120" w:after="40"/>
      </w:pPr>
      <w:r>
        <w:rPr>
          <w:b/>
          <w:sz w:val="21"/>
          <w:shd w:fill="D6E4F0" w:val="clear"/>
        </w:rPr>
        <w:t>D项错误：</w:t>
      </w:r>
    </w:p>
    <w:p>
      <w:pPr>
        <w:spacing w:line="360" w:lineRule="auto" w:after="40"/>
        <w:ind w:firstLine="420"/>
      </w:pPr>
      <w:r>
        <w:t>选项D“数字产品和服务的采用率上升”反映的是客户数字化转型趋势，教材将其与提高客户准入效率、加强风险管理等正面功能关联</w:t>
      </w:r>
      <w:r>
        <w:rPr>
          <w:sz w:val="15"/>
          <w:vertAlign w:val="superscript"/>
        </w:rPr>
        <w:t>P408</w:t>
      </w:r>
      <w:r>
        <w:t>，没有将其列为洗钱的指示信号。题干没有提供任何额外背景将该现象与非法活动建立联系，因此与正确项A的匹配度差距明显。</w:t>
      </w:r>
    </w:p>
    <w:p>
      <w:pPr>
        <w:spacing w:before="120" w:after="40"/>
      </w:pPr>
      <w:r>
        <w:rPr>
          <w:b/>
          <w:sz w:val="21"/>
          <w:shd w:fill="D6E4F0" w:val="clear"/>
        </w:rPr>
        <w:t>易错提醒：</w:t>
      </w:r>
    </w:p>
    <w:p>
      <w:pPr>
        <w:spacing w:line="360" w:lineRule="auto" w:after="40"/>
        <w:ind w:firstLine="420"/>
      </w:pPr>
      <w:r>
        <w:t>容易将机构自身的合规控制措施（如连续编号、记录保存）误认为洗钱的可疑指标。洗钱指标关注的应是客户行为或交易模式中的异常，而非机构为防范风险主动实施的程序。</w:t>
      </w:r>
    </w:p>
    <w:p>
      <w:pPr>
        <w:spacing w:line="360" w:lineRule="auto" w:after="120"/>
      </w:pPr>
      <w:r/>
    </w:p>
    <w:p>
      <w:pPr>
        <w:spacing w:line="360" w:lineRule="auto" w:after="40"/>
      </w:pPr>
      <w:r>
        <w:t>2. Which situation involving a vendor presents increased AML and/or sanctions risk to an organization?</w:t>
      </w:r>
    </w:p>
    <w:p>
      <w:pPr>
        <w:spacing w:line="360" w:lineRule="auto" w:after="20"/>
        <w:ind w:firstLine="283"/>
      </w:pPr>
      <w:r>
        <w:t>A. The vendor provides services to end users located in an area subject to economic sanctions</w:t>
      </w:r>
    </w:p>
    <w:p>
      <w:pPr>
        <w:spacing w:line="360" w:lineRule="auto" w:after="20"/>
        <w:ind w:firstLine="283"/>
      </w:pPr>
      <w:r>
        <w:t>B. The vendor's sales representative was a refugee from a sanctioned jurisdiction as a child</w:t>
      </w:r>
    </w:p>
    <w:p>
      <w:pPr>
        <w:spacing w:line="360" w:lineRule="auto" w:after="20"/>
        <w:ind w:firstLine="283"/>
      </w:pPr>
      <w:r>
        <w:t>C. The vendor is organized as a privately held company</w:t>
      </w:r>
    </w:p>
    <w:p>
      <w:pPr>
        <w:spacing w:line="360" w:lineRule="auto" w:after="20"/>
        <w:ind w:firstLine="283"/>
      </w:pPr>
      <w:r>
        <w:t>D. The vendor has no individuals that own or control more than 10% of the company</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识别第三方关系中的制裁相关高风险场景</w:t>
      </w:r>
    </w:p>
    <w:p>
      <w:pPr>
        <w:spacing w:before="120" w:after="40"/>
      </w:pPr>
      <w:r>
        <w:rPr>
          <w:b/>
          <w:sz w:val="21"/>
          <w:shd w:fill="D6E4F0" w:val="clear"/>
        </w:rPr>
        <w:t>核心解析：</w:t>
      </w:r>
    </w:p>
    <w:p>
      <w:pPr>
        <w:spacing w:line="360" w:lineRule="auto" w:after="40"/>
        <w:ind w:firstLine="420"/>
      </w:pPr>
      <w:r>
        <w:t>制裁相关风险可能产生于</w:t>
      </w:r>
      <w:r>
        <w:rPr>
          <w:b/>
        </w:rPr>
        <w:t>与受制裁或禁运地区、国家进行跨境交易</w:t>
      </w:r>
      <w:r>
        <w:t>时</w:t>
      </w:r>
      <w:r>
        <w:rPr>
          <w:sz w:val="15"/>
          <w:vertAlign w:val="superscript"/>
        </w:rPr>
        <w:t>P138</w:t>
      </w:r>
      <w:r>
        <w:t>，也可能源于与在受制裁国家开展经营活动的客户发生业务往来，因为这类关系具有较高的司法管辖区风险</w:t>
      </w:r>
      <w:r>
        <w:rPr>
          <w:sz w:val="15"/>
          <w:vertAlign w:val="superscript"/>
        </w:rPr>
        <w:t>P73</w:t>
      </w:r>
      <w:r>
        <w:t>。题干考查供应商（第三方）的何种情况会升高制裁风险。选项A中，供应商的服务触达“位于受经济制裁地区的终端用户”，说明该供应商的商业活动通过客户关系间接延伸至受制裁法域。这构成了与受制裁地区的</w:t>
      </w:r>
      <w:r>
        <w:rPr>
          <w:b/>
        </w:rPr>
        <w:t>实质性业务关联</w:t>
      </w:r>
      <w:r>
        <w:t>，因而直接触发制裁风险。相比其他选项讨论的个人背景、组织形式或股权结构，选项A描述的是供应商的业务行为与受制裁地理区域的直接交汇，更符合制裁风险的核心定义。</w:t>
      </w:r>
    </w:p>
    <w:p>
      <w:pPr>
        <w:spacing w:before="120" w:after="40"/>
      </w:pPr>
      <w:r>
        <w:rPr>
          <w:b/>
          <w:sz w:val="21"/>
          <w:shd w:fill="D6E4F0" w:val="clear"/>
        </w:rPr>
        <w:t>教材原句：</w:t>
      </w:r>
    </w:p>
    <w:p>
      <w:pPr>
        <w:spacing w:line="360" w:lineRule="auto" w:after="40"/>
        <w:ind w:firstLine="420"/>
      </w:pPr>
      <w:r>
        <w:t>"Sanctions-related risks emerge when participating in cross-border transactions with regions or countries subject to sanctions or embargoes."</w:t>
      </w:r>
    </w:p>
    <w:p>
      <w:pPr>
        <w:spacing w:before="120" w:after="40"/>
      </w:pPr>
      <w:r>
        <w:rPr>
          <w:b/>
          <w:sz w:val="21"/>
          <w:shd w:fill="D6E4F0" w:val="clear"/>
        </w:rPr>
        <w:t>B项错误：</w:t>
      </w:r>
    </w:p>
    <w:p>
      <w:pPr>
        <w:spacing w:line="360" w:lineRule="auto" w:after="40"/>
        <w:ind w:firstLine="420"/>
      </w:pPr>
      <w:r>
        <w:t>销售代表的难民身份及其“小时候”的过往，与其当前业务行为无直接关联。制裁风险关注的是主体当下的交易对手与业务地理范围，而非雇员过去的个人经历。题干条件更支持基于实质性业务关联的风险判断。</w:t>
      </w:r>
    </w:p>
    <w:p>
      <w:pPr>
        <w:spacing w:before="120" w:after="40"/>
      </w:pPr>
      <w:r>
        <w:rPr>
          <w:b/>
          <w:sz w:val="21"/>
          <w:shd w:fill="D6E4F0" w:val="clear"/>
        </w:rPr>
        <w:t>C项错误：</w:t>
      </w:r>
    </w:p>
    <w:p>
      <w:pPr>
        <w:spacing w:line="360" w:lineRule="auto" w:after="40"/>
        <w:ind w:firstLine="420"/>
      </w:pPr>
      <w:r>
        <w:t>“私营公司”这一组织形式本身不是高风险信号。判断制裁风险时，更应关注供应商的业务活动和交易对手，因此A项比C项更直接。</w:t>
      </w:r>
    </w:p>
    <w:p>
      <w:pPr>
        <w:spacing w:before="120" w:after="40"/>
      </w:pPr>
      <w:r>
        <w:rPr>
          <w:b/>
          <w:sz w:val="21"/>
          <w:shd w:fill="D6E4F0" w:val="clear"/>
        </w:rPr>
        <w:t>D项错误：</w:t>
      </w:r>
    </w:p>
    <w:p>
      <w:pPr>
        <w:spacing w:line="360" w:lineRule="auto" w:after="40"/>
        <w:ind w:firstLine="420"/>
      </w:pPr>
      <w:r>
        <w:t>无个人持股超10%只说明股权较为分散，不能直接推导出制裁风险升高。受益所有人的识别标准还需结合适用法规和客户风险，仅凭无人持股超10%这一事实，无法与制裁风险建立直接联系。</w:t>
      </w:r>
    </w:p>
    <w:p>
      <w:pPr>
        <w:spacing w:before="120" w:after="40"/>
      </w:pPr>
      <w:r>
        <w:rPr>
          <w:b/>
          <w:sz w:val="21"/>
          <w:shd w:fill="D6E4F0" w:val="clear"/>
        </w:rPr>
        <w:t>易错提醒：</w:t>
      </w:r>
    </w:p>
    <w:p>
      <w:pPr>
        <w:spacing w:line="360" w:lineRule="auto" w:after="40"/>
        <w:ind w:firstLine="420"/>
      </w:pPr>
      <w:r>
        <w:t>制裁风险聚焦于当下的业务关联与地理禁区。选项B利用“受制裁司法管辖区”字眼制造联想，但关键区别在于：接触是因业务交易还是因个人历史背景。制裁合规中，客观的业务触及远比人员的身世标签更重要。</w:t>
      </w:r>
    </w:p>
    <w:p>
      <w:pPr>
        <w:spacing w:line="360" w:lineRule="auto" w:after="120"/>
      </w:pPr>
      <w:r/>
    </w:p>
    <w:p>
      <w:pPr>
        <w:spacing w:line="360" w:lineRule="auto" w:after="40"/>
      </w:pPr>
      <w:r>
        <w:t>3. An AML compliance officer is evaluating a new customer's profile. Which of the following is most likely to indicate that the customer presents a money laundering risk?</w:t>
      </w:r>
    </w:p>
    <w:p>
      <w:pPr>
        <w:spacing w:line="360" w:lineRule="auto" w:after="20"/>
        <w:ind w:firstLine="283"/>
      </w:pPr>
      <w:r>
        <w:t>A. The information provided by the customer is inconsistent with public records or business activity</w:t>
      </w:r>
    </w:p>
    <w:p>
      <w:pPr>
        <w:spacing w:line="360" w:lineRule="auto" w:after="20"/>
        <w:ind w:firstLine="283"/>
      </w:pPr>
      <w:r>
        <w:t>B. The customer requests a reduction in service fees</w:t>
      </w:r>
    </w:p>
    <w:p>
      <w:pPr>
        <w:spacing w:line="360" w:lineRule="auto" w:after="20"/>
        <w:ind w:firstLine="283"/>
      </w:pPr>
      <w:r>
        <w:t>C. The customer asks how long the account opening process will take</w:t>
      </w:r>
    </w:p>
    <w:p>
      <w:pPr>
        <w:spacing w:line="360" w:lineRule="auto" w:after="20"/>
        <w:ind w:firstLine="283"/>
      </w:pPr>
      <w:r>
        <w:t>D. The customer provides complete identification documents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识别“客户信息与可验证事实不一致”这一核心洗钱风险信号</w:t>
      </w:r>
    </w:p>
    <w:p>
      <w:pPr>
        <w:spacing w:before="120" w:after="40"/>
      </w:pPr>
      <w:r>
        <w:rPr>
          <w:b/>
          <w:sz w:val="21"/>
          <w:shd w:fill="D6E4F0" w:val="clear"/>
        </w:rPr>
        <w:t>核心解析：</w:t>
      </w:r>
    </w:p>
    <w:p>
      <w:pPr>
        <w:spacing w:line="360" w:lineRule="auto" w:after="40"/>
        <w:ind w:firstLine="420"/>
      </w:pPr>
      <w:r>
        <w:t>在反洗钱框架下，客户尽职调查的核心是核实客户所声称的身份和业务是否真实存在且合理。当</w:t>
      </w:r>
      <w:r>
        <w:rPr>
          <w:b/>
        </w:rPr>
        <w:t>客户提供的信息与独立公开资料或业务活动不一致</w:t>
      </w:r>
      <w:r>
        <w:t>时，就产生了红旗警示（red flag），这直接指向潜在的可疑行为。教材在Goodwish Jade珠宝店案例</w:t>
      </w:r>
      <w:r>
        <w:rPr>
          <w:sz w:val="15"/>
          <w:vertAlign w:val="superscript"/>
        </w:rPr>
        <w:t>P129</w:t>
      </w:r>
      <w:r>
        <w:t>中展示了这一逻辑：反洗钱官员发现该珠宝店有多笔超50万美元的夜间现金交易，但其官网明确写着营业时间为上午10时至下午6时，且没有网店——“交易时间与宣称的业务运营模式明显不符，引发了对交易合法性的质疑”。本题中，选项A描述的情景“客户提供的信息与公开资料或业务活动不一致”，与教材案例揭示的</w:t>
      </w:r>
      <w:r>
        <w:rPr>
          <w:b/>
        </w:rPr>
        <w:t>风险识别逻辑</w:t>
      </w:r>
      <w:r>
        <w:t>完全吻合，是评估新客户时最直接的洗钱风险信号。</w:t>
      </w:r>
    </w:p>
    <w:p>
      <w:pPr>
        <w:spacing w:before="120" w:after="40"/>
      </w:pPr>
      <w:r>
        <w:rPr>
          <w:b/>
          <w:sz w:val="21"/>
          <w:shd w:fill="D6E4F0" w:val="clear"/>
        </w:rPr>
        <w:t>教材原句：</w:t>
      </w:r>
    </w:p>
    <w:p>
      <w:pPr>
        <w:spacing w:line="360" w:lineRule="auto" w:after="40"/>
        <w:ind w:firstLine="420"/>
      </w:pPr>
      <w:r>
        <w:t>"GJ's website states that the shop operates daily from 10 a.m. to 6 p.m., and does not run an online store, raising questions about the legitimacy of these late-night transactions."</w:t>
      </w:r>
    </w:p>
    <w:p>
      <w:pPr>
        <w:spacing w:before="120" w:after="40"/>
      </w:pPr>
      <w:r>
        <w:rPr>
          <w:b/>
          <w:sz w:val="21"/>
          <w:shd w:fill="D6E4F0" w:val="clear"/>
        </w:rPr>
        <w:t>B项错误：</w:t>
      </w:r>
    </w:p>
    <w:p>
      <w:pPr>
        <w:spacing w:line="360" w:lineRule="auto" w:after="40"/>
        <w:ind w:firstLine="420"/>
      </w:pPr>
      <w:r>
        <w:t>要求降低服务费用本身是正常的商业谈判行为，与洗钱风险之间不存在教材定义的直接关联。教材讨论的风险指标更关注交易模式、信息真实性等因素，而非客户对价格的敏感度，题干条件更直接匹配信息不一致场景而非费用诉求。</w:t>
      </w:r>
    </w:p>
    <w:p>
      <w:pPr>
        <w:spacing w:before="120" w:after="40"/>
      </w:pPr>
      <w:r>
        <w:rPr>
          <w:b/>
          <w:sz w:val="21"/>
          <w:shd w:fill="D6E4F0" w:val="clear"/>
        </w:rPr>
        <w:t>C项错误：</w:t>
      </w:r>
    </w:p>
    <w:p>
      <w:pPr>
        <w:spacing w:line="360" w:lineRule="auto" w:after="40"/>
        <w:ind w:firstLine="420"/>
      </w:pPr>
      <w:r>
        <w:t>询问开户流程所需时间是新客户的常见行为，教材甚至提到电子KYC可“在数小时或数分钟内完成客户开户”</w:t>
      </w:r>
      <w:r>
        <w:rPr>
          <w:sz w:val="15"/>
          <w:vertAlign w:val="superscript"/>
        </w:rPr>
        <w:t>P405</w:t>
      </w:r>
      <w:r>
        <w:t>，表明客户关心开户效率本身并不构成风险信号。相比之下，信息不一致是教材反复强调的异常指标，更接近风险判断的核心。</w:t>
      </w:r>
    </w:p>
    <w:p>
      <w:pPr>
        <w:spacing w:before="120" w:after="40"/>
      </w:pPr>
      <w:r>
        <w:rPr>
          <w:b/>
          <w:sz w:val="21"/>
          <w:shd w:fill="D6E4F0" w:val="clear"/>
        </w:rPr>
        <w:t>D项错误：</w:t>
      </w:r>
    </w:p>
    <w:p>
      <w:pPr>
        <w:spacing w:line="360" w:lineRule="auto" w:after="40"/>
        <w:ind w:firstLine="420"/>
      </w:pPr>
      <w:r>
        <w:t>提供完整的身份证明文件是客户配合尽职调查的积极表现，教材在客户生命周期的身份识别与验证环节将其列为标准流程</w:t>
      </w:r>
      <w:r>
        <w:rPr>
          <w:sz w:val="15"/>
          <w:vertAlign w:val="superscript"/>
        </w:rPr>
        <w:t>P301</w:t>
      </w:r>
      <w:r>
        <w:t>。这恰是机构希望客户做到的合规行为，与洗钱风险的方向相反，无法像选项A那样直接指向可疑信号。</w:t>
      </w:r>
    </w:p>
    <w:p>
      <w:pPr>
        <w:spacing w:before="120" w:after="40"/>
      </w:pPr>
      <w:r>
        <w:rPr>
          <w:b/>
          <w:sz w:val="21"/>
          <w:shd w:fill="D6E4F0" w:val="clear"/>
        </w:rPr>
        <w:t>易错提醒：</w:t>
      </w:r>
    </w:p>
    <w:p>
      <w:pPr>
        <w:spacing w:line="360" w:lineRule="auto" w:after="40"/>
        <w:ind w:firstLine="420"/>
      </w:pPr>
      <w:r>
        <w:t>初学者容易将“客户行为与常规不符”的各个选项都视为风险，但关键在于区分“正常客户也会做的事”和“异常矛盾点”。教材的核心判断标准并非行为本身是否少见，而是是否存在“可被独立验证的矛盾”——像营业时间与交易时间的冲突，这类矛盾难以被合理化解，因此风险权重远高于费用协商、开户咨询等日常行为。</w:t>
      </w:r>
    </w:p>
    <w:p>
      <w:pPr>
        <w:spacing w:line="360" w:lineRule="auto" w:after="120"/>
      </w:pPr>
      <w:r/>
    </w:p>
    <w:p>
      <w:pPr>
        <w:spacing w:line="360" w:lineRule="auto" w:after="40"/>
      </w:pPr>
      <w:r>
        <w:t>4. The transaction monitoring system of a bank generated an alert for a car wash client. After making large cash deposits, the client orders international wire transfers. Which additional circumstances would make the case more suspicious?</w:t>
      </w:r>
    </w:p>
    <w:p>
      <w:pPr>
        <w:spacing w:line="360" w:lineRule="auto" w:after="20"/>
        <w:ind w:firstLine="283"/>
      </w:pPr>
      <w:r>
        <w:t>A. The beneficiary of the wire transfers is a foreign company whose shareholders and directors are other companies</w:t>
      </w:r>
    </w:p>
    <w:p>
      <w:pPr>
        <w:spacing w:line="360" w:lineRule="auto" w:after="20"/>
        <w:ind w:firstLine="283"/>
      </w:pPr>
      <w:r>
        <w:t>B. The wire transfers are for different amounts but with the same beneficiary</w:t>
      </w:r>
    </w:p>
    <w:p>
      <w:pPr>
        <w:spacing w:line="360" w:lineRule="auto" w:after="20"/>
        <w:ind w:firstLine="283"/>
      </w:pPr>
      <w:r>
        <w:t>C. The beneficiary of the wire transfer is a resident of a grey-list country</w:t>
      </w:r>
    </w:p>
    <w:p>
      <w:pPr>
        <w:spacing w:line="360" w:lineRule="auto" w:after="20"/>
        <w:ind w:firstLine="283"/>
      </w:pPr>
      <w:r>
        <w:t>D. The beneficiary of the wire transfers is a resident of a foreign country bearing the same family name as the business owner</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识别受益所有权不透明作为核心可疑指标</w:t>
      </w:r>
    </w:p>
    <w:p>
      <w:pPr>
        <w:spacing w:before="120" w:after="40"/>
      </w:pPr>
      <w:r>
        <w:rPr>
          <w:b/>
          <w:sz w:val="21"/>
          <w:shd w:fill="D6E4F0" w:val="clear"/>
        </w:rPr>
        <w:t>核心解析：</w:t>
      </w:r>
    </w:p>
    <w:p>
      <w:pPr>
        <w:spacing w:line="360" w:lineRule="auto" w:after="40"/>
        <w:ind w:firstLine="420"/>
      </w:pPr>
      <w:r>
        <w:t>教材将复杂所有权结构列为高价值资产交易的洗钱红旗之一，因为此类结构可能</w:t>
      </w:r>
      <w:r>
        <w:rPr>
          <w:b/>
        </w:rPr>
        <w:t>掩盖资产的真实受益所有人，并增加追踪资金来源的难度</w:t>
      </w:r>
      <w:r>
        <w:rPr>
          <w:sz w:val="15"/>
          <w:vertAlign w:val="superscript"/>
        </w:rPr>
        <w:t>P128</w:t>
      </w:r>
      <w:r>
        <w:t>。选项A中，电汇受益公司的股东和董事均为其他公司，表明其所有权和控制结构较为复杂，可能增加识别最终控制人及追踪资金去向的难度。</w:t>
      </w:r>
    </w:p>
    <w:p>
      <w:pPr>
        <w:spacing w:line="360" w:lineRule="auto" w:after="40"/>
        <w:ind w:firstLine="420"/>
      </w:pPr>
      <w:r>
        <w:t>洗车行属于现金密集型业务，此类业务因处理大量现金而更容易面临洗钱风险</w:t>
      </w:r>
      <w:r>
        <w:rPr>
          <w:sz w:val="15"/>
          <w:vertAlign w:val="superscript"/>
        </w:rPr>
        <w:t>P65</w:t>
      </w:r>
      <w:r>
        <w:t>。在大额现金存款后进行国际电汇的既有警报基础上，受益方复杂且不透明的公司结构会构成更有辨识力的附加风险因素。题干并未说明现金来源违法，也不能仅凭公司结构认定受益方必然是壳公司；但两项风险特征结合后，足以支持进一步调查。</w:t>
      </w:r>
    </w:p>
    <w:p>
      <w:pPr>
        <w:spacing w:line="360" w:lineRule="auto" w:after="40"/>
        <w:ind w:firstLine="420"/>
      </w:pPr>
      <w:r>
        <w:t>教材提到涉及高风险司法管辖区的交易可能触发警报</w:t>
      </w:r>
      <w:r>
        <w:rPr>
          <w:sz w:val="15"/>
          <w:vertAlign w:val="superscript"/>
        </w:rPr>
        <w:t>P329</w:t>
      </w:r>
      <w:r>
        <w:t>，但选项C仅说明受益人居住在FATF灰名单国家。灰名单表示该司法管辖区正接受加强监测，不能直接等同于教材所称的高风险司法管辖区；仅凭居住地也不足以形成比A更直接的可疑特征。因此，A是四项中最能增加本案可疑程度的情况。</w:t>
      </w:r>
    </w:p>
    <w:p>
      <w:pPr>
        <w:spacing w:before="120" w:after="40"/>
      </w:pPr>
      <w:r>
        <w:rPr>
          <w:b/>
          <w:sz w:val="21"/>
          <w:shd w:fill="D6E4F0" w:val="clear"/>
        </w:rPr>
        <w:t>教材原句：</w:t>
      </w:r>
    </w:p>
    <w:p>
      <w:pPr>
        <w:spacing w:line="360" w:lineRule="auto" w:after="40"/>
        <w:ind w:firstLine="420"/>
      </w:pPr>
      <w:r>
        <w:t>"The use of complex ownership structures: These include the use of shell companies. These can obscure the true beneficial owner of the asset, which makes it difficult to trace the source of funds."</w:t>
      </w:r>
    </w:p>
    <w:p>
      <w:pPr>
        <w:spacing w:before="120" w:after="40"/>
      </w:pPr>
      <w:r>
        <w:rPr>
          <w:b/>
          <w:sz w:val="21"/>
          <w:shd w:fill="D6E4F0" w:val="clear"/>
        </w:rPr>
        <w:t>B项错误：</w:t>
      </w:r>
    </w:p>
    <w:p>
      <w:pPr>
        <w:spacing w:line="360" w:lineRule="auto" w:after="40"/>
        <w:ind w:firstLine="420"/>
      </w:pPr>
      <w:r>
        <w:t>电汇金额不同但受益人相同，既可能出现在正常的分期付款或持续商业往来中，也可能需要结合金额、频率和交易目的进一步调查。题干没有提供足以使B比A更可疑的附加事实。</w:t>
      </w:r>
    </w:p>
    <w:p>
      <w:pPr>
        <w:spacing w:before="120" w:after="40"/>
      </w:pPr>
      <w:r>
        <w:rPr>
          <w:b/>
          <w:sz w:val="21"/>
          <w:shd w:fill="D6E4F0" w:val="clear"/>
        </w:rPr>
        <w:t>C项错误：</w:t>
      </w:r>
    </w:p>
    <w:p>
      <w:pPr>
        <w:spacing w:line="360" w:lineRule="auto" w:after="40"/>
        <w:ind w:firstLine="420"/>
      </w:pPr>
      <w:r>
        <w:t>受益人居住在灰名单国家会带来一定地理风险，但灰名单并不等同于高风险名单，且居住地本身不能证明交易异常。相比之下，A更直接涉及最终控制人和受益所有人的识别困难。</w:t>
      </w:r>
    </w:p>
    <w:p>
      <w:pPr>
        <w:spacing w:before="120" w:after="40"/>
      </w:pPr>
      <w:r>
        <w:rPr>
          <w:b/>
          <w:sz w:val="21"/>
          <w:shd w:fill="D6E4F0" w:val="clear"/>
        </w:rPr>
        <w:t>D项错误：</w:t>
      </w:r>
    </w:p>
    <w:p>
      <w:pPr>
        <w:spacing w:line="360" w:lineRule="auto" w:after="40"/>
        <w:ind w:firstLine="420"/>
      </w:pPr>
      <w:r>
        <w:t>同姓可能提示双方存在亲属或关联关系，也可能只是巧合。缺少关系性质、交易目的或资金用途等信息时，仅凭姓氏不足以使D成为最可疑的附加情况。</w:t>
      </w:r>
    </w:p>
    <w:p>
      <w:pPr>
        <w:spacing w:line="360" w:lineRule="auto" w:after="120"/>
      </w:pPr>
      <w:r/>
    </w:p>
    <w:p>
      <w:pPr>
        <w:spacing w:line="360" w:lineRule="auto" w:after="40"/>
      </w:pPr>
      <w:r>
        <w:t>5. It is essential to identify any 'family members' or 'close associates' of politically exposed persons (PEPs) as part of the KYC/CDD process because they could be:</w:t>
      </w:r>
    </w:p>
    <w:p>
      <w:pPr>
        <w:spacing w:line="360" w:lineRule="auto" w:after="20"/>
        <w:ind w:firstLine="283"/>
      </w:pPr>
      <w:r>
        <w:t>A. executing cross-border transactions for their own business that are not commensurate with the PEP's wealth.</w:t>
      </w:r>
    </w:p>
    <w:p>
      <w:pPr>
        <w:spacing w:line="360" w:lineRule="auto" w:after="20"/>
        <w:ind w:firstLine="283"/>
      </w:pPr>
      <w:r>
        <w:t>B. in a position to provide more information about the PEP's whereabouts and concealed assets.</w:t>
      </w:r>
    </w:p>
    <w:p>
      <w:pPr>
        <w:spacing w:line="360" w:lineRule="auto" w:after="20"/>
        <w:ind w:firstLine="283"/>
      </w:pPr>
      <w:r>
        <w:t>C. travelling to offshore jurisdictions often on holiday, which exposes them to higher AML risks.</w:t>
      </w:r>
    </w:p>
    <w:p>
      <w:pPr>
        <w:spacing w:line="360" w:lineRule="auto" w:after="20"/>
        <w:ind w:firstLine="283"/>
      </w:pPr>
      <w:r>
        <w:t>D. used as intermediaries to facilitate bribery or corruption or to conceal the illicit wealth of the PEP.</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识别PEP家庭成员和密切关系人的核心风险在于贿赂腐败和隐藏财富</w:t>
      </w:r>
    </w:p>
    <w:p>
      <w:pPr>
        <w:spacing w:before="120" w:after="40"/>
      </w:pPr>
      <w:r>
        <w:rPr>
          <w:b/>
          <w:sz w:val="21"/>
          <w:shd w:fill="D6E4F0" w:val="clear"/>
        </w:rPr>
        <w:t>核心解析：</w:t>
      </w:r>
    </w:p>
    <w:p>
      <w:pPr>
        <w:spacing w:line="360" w:lineRule="auto" w:after="40"/>
        <w:ind w:firstLine="420"/>
      </w:pPr>
      <w:r>
        <w:t>政治敏感人物（PEP）指担任显要公职的个人；教材指出，PEP及其直系亲属或密切关联人可能面临更高的</w:t>
      </w:r>
      <w:r>
        <w:rPr>
          <w:b/>
        </w:rPr>
        <w:t>贿赂和腐败风险</w:t>
      </w:r>
      <w:r>
        <w:rPr>
          <w:sz w:val="15"/>
          <w:vertAlign w:val="superscript"/>
        </w:rPr>
        <w:t>P137</w:t>
      </w:r>
      <w:r>
        <w:t>。教材还说明，部分司法管辖区把家庭成员和密切关联人纳入PEP分类，是因为其可能</w:t>
      </w:r>
      <w:r>
        <w:rPr>
          <w:b/>
        </w:rPr>
        <w:t>间接参与金融犯罪</w:t>
      </w:r>
      <w:r>
        <w:rPr>
          <w:sz w:val="15"/>
          <w:vertAlign w:val="superscript"/>
        </w:rPr>
        <w:t>P320</w:t>
      </w:r>
      <w:r>
        <w:t>。因此，识别这些人是为了评估其是否可能被利用参与贿赂、腐败或其他金融犯罪。D所说的“作为中间人协助贿赂或腐败、隐瞒PEP非法财富”正是这种风险的具体表现，因此最符合题意。</w:t>
      </w:r>
    </w:p>
    <w:p>
      <w:pPr>
        <w:spacing w:before="120" w:after="40"/>
      </w:pPr>
      <w:r>
        <w:rPr>
          <w:b/>
          <w:sz w:val="21"/>
          <w:shd w:fill="D6E4F0" w:val="clear"/>
        </w:rPr>
        <w:t>教材原句：</w:t>
      </w:r>
    </w:p>
    <w:p>
      <w:pPr>
        <w:spacing w:line="360" w:lineRule="auto" w:after="40"/>
        <w:ind w:firstLine="420"/>
      </w:pPr>
      <w:r>
        <w:t>"A PEP is an individual in a prominent political function, or their immediate family or close associates, who could be at higher risk for involvement in bribery and corruption."</w:t>
      </w:r>
    </w:p>
    <w:p>
      <w:pPr>
        <w:spacing w:before="120" w:after="40"/>
      </w:pPr>
      <w:r>
        <w:rPr>
          <w:b/>
          <w:sz w:val="21"/>
          <w:shd w:fill="D6E4F0" w:val="clear"/>
        </w:rPr>
        <w:t>A项错误：</w:t>
      </w:r>
    </w:p>
    <w:p>
      <w:pPr>
        <w:spacing w:line="360" w:lineRule="auto" w:after="40"/>
        <w:ind w:firstLine="420"/>
      </w:pPr>
      <w:r>
        <w:t>不相称交易可以是风险信号，但A强调的是客户自身业务交易，没有体现教材所强调的PEP关联人可能间接参与贿赂、腐败或金融犯罪这一身份风险</w:t>
      </w:r>
      <w:r>
        <w:rPr>
          <w:sz w:val="15"/>
          <w:vertAlign w:val="superscript"/>
        </w:rPr>
        <w:t>P137、P320</w:t>
      </w:r>
      <w:r>
        <w:t>。</w:t>
      </w:r>
    </w:p>
    <w:p>
      <w:pPr>
        <w:spacing w:before="120" w:after="40"/>
      </w:pPr>
      <w:r>
        <w:rPr>
          <w:b/>
          <w:sz w:val="21"/>
          <w:shd w:fill="D6E4F0" w:val="clear"/>
        </w:rPr>
        <w:t>B项错误：</w:t>
      </w:r>
    </w:p>
    <w:p>
      <w:pPr>
        <w:spacing w:line="360" w:lineRule="auto" w:after="40"/>
        <w:ind w:firstLine="420"/>
      </w:pPr>
      <w:r>
        <w:t>能够提供PEP行踪或财产信息并不是将其纳入PEP筛查范围的合规理由；筛查关注的是其自身可能涉及的贿赂、腐败和金融犯罪风险。</w:t>
      </w:r>
    </w:p>
    <w:p>
      <w:pPr>
        <w:spacing w:before="120" w:after="40"/>
      </w:pPr>
      <w:r>
        <w:rPr>
          <w:b/>
          <w:sz w:val="21"/>
          <w:shd w:fill="D6E4F0" w:val="clear"/>
        </w:rPr>
        <w:t>C项错误：</w:t>
      </w:r>
    </w:p>
    <w:p>
      <w:pPr>
        <w:spacing w:line="360" w:lineRule="auto" w:after="40"/>
        <w:ind w:firstLine="420"/>
      </w:pPr>
      <w:r>
        <w:t>前往离岸司法管辖区可能增加地理风险，但“度假”本身不能推出金融犯罪参与；其与教材所述PEP关联人身份风险的对应关系弱于D</w:t>
      </w:r>
      <w:r>
        <w:rPr>
          <w:sz w:val="15"/>
          <w:vertAlign w:val="superscript"/>
        </w:rPr>
        <w:t>P137、P320</w:t>
      </w:r>
      <w:r>
        <w:t>。</w:t>
      </w:r>
    </w:p>
    <w:p>
      <w:pPr>
        <w:spacing w:line="360" w:lineRule="auto" w:after="120"/>
      </w:pPr>
      <w:r/>
    </w:p>
    <w:p>
      <w:pPr>
        <w:spacing w:line="360" w:lineRule="auto" w:after="40"/>
      </w:pPr>
      <w:r>
        <w:t>6. According to the Financial Action Task Force (FATF) report on terrorist financing, charities and nonprofit organizations are often vulnerable to terrorist financing because they: (Select two.)</w:t>
      </w:r>
    </w:p>
    <w:p>
      <w:pPr>
        <w:spacing w:line="360" w:lineRule="auto" w:after="20"/>
        <w:ind w:firstLine="283"/>
      </w:pPr>
      <w:r>
        <w:t>A. Collect donations from various sources, and their primary objective is philanthropy and social well-being.</w:t>
      </w:r>
    </w:p>
    <w:p>
      <w:pPr>
        <w:spacing w:line="360" w:lineRule="auto" w:after="20"/>
        <w:ind w:firstLine="283"/>
      </w:pPr>
      <w:r>
        <w:t>B. Are usually legitimate establishments and will not use the funds collected through donations for the profit of individuals or entities.</w:t>
      </w:r>
    </w:p>
    <w:p>
      <w:pPr>
        <w:spacing w:line="360" w:lineRule="auto" w:after="20"/>
        <w:ind w:firstLine="283"/>
      </w:pPr>
      <w:r>
        <w:t>C. Have a global presence that provides a framework for national and international operations and financial transactions that are often in or near areas most exposed to terrorist activity.</w:t>
      </w:r>
    </w:p>
    <w:p>
      <w:pPr>
        <w:spacing w:line="360" w:lineRule="auto" w:after="20"/>
        <w:ind w:firstLine="283"/>
      </w:pPr>
      <w:r>
        <w:t>D. Enjoy public trust, can access large sources of funds, and often conduct cash-intensive activities.</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识别慈善行业易被恐怖融资滥用的脆弱性特征</w:t>
      </w:r>
    </w:p>
    <w:p>
      <w:pPr>
        <w:spacing w:before="120" w:after="40"/>
      </w:pPr>
      <w:r>
        <w:rPr>
          <w:b/>
          <w:sz w:val="21"/>
          <w:shd w:fill="D6E4F0" w:val="clear"/>
        </w:rPr>
        <w:t>核心解析：</w:t>
      </w:r>
    </w:p>
    <w:p>
      <w:pPr>
        <w:spacing w:line="360" w:lineRule="auto" w:after="40"/>
        <w:ind w:firstLine="420"/>
      </w:pPr>
      <w:r>
        <w:t>慈善机构和非政府组织可能因</w:t>
      </w:r>
      <w:r>
        <w:rPr>
          <w:b/>
        </w:rPr>
        <w:t>享有公众信任、通常具有全球存在、可从未知或未披露来源获取大量资金、现金密集</w:t>
      </w:r>
      <w:r>
        <w:t>，以及位于或邻近恐怖活动暴露区域而被金融犯罪利用</w:t>
      </w:r>
      <w:r>
        <w:rPr>
          <w:sz w:val="15"/>
          <w:vertAlign w:val="superscript"/>
        </w:rPr>
        <w:t>P134</w:t>
      </w:r>
      <w:r>
        <w:t>。选项C对应全球业务布局和高风险地区活动，选项D对应公众信任、大量资金和资金密集。题干问的是组织容易被恐怖融资利用的原因，而不是慈善机构的一般定义，因此应选C、D。</w:t>
      </w:r>
    </w:p>
    <w:p>
      <w:pPr>
        <w:spacing w:before="120" w:after="40"/>
      </w:pPr>
      <w:r>
        <w:rPr>
          <w:b/>
          <w:sz w:val="21"/>
          <w:shd w:fill="D6E4F0" w:val="clear"/>
        </w:rPr>
        <w:t>教材原句：</w:t>
      </w:r>
    </w:p>
    <w:p>
      <w:pPr>
        <w:spacing w:line="360" w:lineRule="auto" w:after="40"/>
        <w:ind w:firstLine="420"/>
      </w:pPr>
      <w:r>
        <w:t>"Often being in or near areas exposed to terrorist activity"</w:t>
      </w:r>
      <w:r>
        <w:rPr>
          <w:sz w:val="15"/>
          <w:vertAlign w:val="superscript"/>
        </w:rPr>
        <w:t>P134</w:t>
      </w:r>
    </w:p>
    <w:p>
      <w:pPr>
        <w:spacing w:before="120" w:after="40"/>
      </w:pPr>
      <w:r>
        <w:rPr>
          <w:b/>
          <w:sz w:val="21"/>
          <w:shd w:fill="D6E4F0" w:val="clear"/>
        </w:rPr>
        <w:t>A项错误：</w:t>
      </w:r>
    </w:p>
    <w:p>
      <w:pPr>
        <w:spacing w:line="360" w:lineRule="auto" w:after="40"/>
        <w:ind w:firstLine="420"/>
      </w:pPr>
      <w:r>
        <w:t>“从各种渠道募集捐款”和公益目标描述的是慈善机构的一般运作方式。真正增加滥用风险的是资金来源不明、现金密集、跨地域经营或在高风险地区活动等具体条件</w:t>
      </w:r>
      <w:r>
        <w:rPr>
          <w:sz w:val="15"/>
          <w:vertAlign w:val="superscript"/>
        </w:rPr>
        <w:t>P134</w:t>
      </w:r>
      <w:r>
        <w:t>，而不是募款和公益宗旨本身。</w:t>
      </w:r>
    </w:p>
    <w:p>
      <w:pPr>
        <w:spacing w:before="120" w:after="40"/>
      </w:pPr>
      <w:r>
        <w:rPr>
          <w:b/>
          <w:sz w:val="21"/>
          <w:shd w:fill="D6E4F0" w:val="clear"/>
        </w:rPr>
        <w:t>B项错误：</w:t>
      </w:r>
    </w:p>
    <w:p>
      <w:pPr>
        <w:spacing w:line="360" w:lineRule="auto" w:after="40"/>
        <w:ind w:firstLine="420"/>
      </w:pPr>
      <w:r>
        <w:t>大多数慈善机构和非政府组织虽然合法，仍可能被恐怖组织利用</w:t>
      </w:r>
      <w:r>
        <w:rPr>
          <w:sz w:val="15"/>
          <w:vertAlign w:val="superscript"/>
        </w:rPr>
        <w:t>P135</w:t>
      </w:r>
      <w:r>
        <w:t>。“通常合法”不能排除被滥用的可能；“不会将资金用于私利”描述的是合法组织的规范状态，不是易受恐怖融资影响的原因。</w:t>
      </w:r>
    </w:p>
    <w:p>
      <w:pPr>
        <w:spacing w:before="120" w:after="40"/>
      </w:pPr>
      <w:r>
        <w:rPr>
          <w:b/>
          <w:sz w:val="21"/>
          <w:shd w:fill="D6E4F0" w:val="clear"/>
        </w:rPr>
        <w:t>易错提醒：</w:t>
      </w:r>
    </w:p>
    <w:p>
      <w:pPr>
        <w:spacing w:line="360" w:lineRule="auto" w:after="40"/>
        <w:ind w:firstLine="420"/>
      </w:pPr>
      <w:r>
        <w:t>慈善机构的公益宗旨或通常合法，属于组织的一般属性；全球存在、在恐怖活动暴露区域附近运作、公众信任、来源未知或未披露的大量资金及现金密集，才会增加被滥用的风险（P134-P135）。风险特征表示需要加强关注，不等于组织实际参与了恐怖融资。</w:t>
      </w:r>
    </w:p>
    <w:p>
      <w:pPr>
        <w:spacing w:line="360" w:lineRule="auto" w:after="120"/>
      </w:pPr>
      <w:r/>
    </w:p>
    <w:p>
      <w:pPr>
        <w:spacing w:line="360" w:lineRule="auto" w:after="40"/>
      </w:pPr>
      <w:r>
        <w:t>7. An agent of a wealthy individual residing in Country A, which is on the EU list of high-risk third jurisdictions, approaches a notary in Country B, which is in the EU. The agent wants to complete a disposal of assets recently acquired at auction by the wealthy individual through an offshore company. The agent also has a power of attorney to act on behalf of the offshore company, issued by a respectable law firm from Country C, which is also in the EU. The agent asks the notary to proceed with the disposal as quickly as possible without paying any specific attention to related costs or taxes to be paid as a result of this transaction. The notary notices the intended transfer price is significantly lower than the one recorded at auction, but the agent does not want to discuss this matter and claims that it is not covered by the power of attorney. Which red flags should the notary consider? (Select two.)</w:t>
      </w:r>
    </w:p>
    <w:p>
      <w:pPr>
        <w:spacing w:line="360" w:lineRule="auto" w:after="20"/>
        <w:ind w:firstLine="283"/>
      </w:pPr>
      <w:r>
        <w:t>A. The agent requests disposal of the assets at a price below the recent acquisition price.</w:t>
      </w:r>
    </w:p>
    <w:p>
      <w:pPr>
        <w:spacing w:line="360" w:lineRule="auto" w:after="20"/>
        <w:ind w:firstLine="283"/>
      </w:pPr>
      <w:r>
        <w:t>B. The assets acquired through auction were registered in the name of an offshore company.</w:t>
      </w:r>
    </w:p>
    <w:p>
      <w:pPr>
        <w:spacing w:line="360" w:lineRule="auto" w:after="20"/>
        <w:ind w:firstLine="283"/>
      </w:pPr>
      <w:r>
        <w:t>C. The agent represents a person residing in a jurisdiction on the EU list of high-risk third countries.</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识别高价值资产交易中价格操纵的危险信号</w:t>
      </w:r>
    </w:p>
    <w:p>
      <w:pPr>
        <w:spacing w:before="120" w:after="40"/>
      </w:pPr>
      <w:r>
        <w:rPr>
          <w:b/>
          <w:sz w:val="21"/>
          <w:shd w:fill="D6E4F0" w:val="clear"/>
        </w:rPr>
        <w:t>核心解析：</w:t>
      </w:r>
    </w:p>
    <w:p>
      <w:pPr>
        <w:spacing w:line="360" w:lineRule="auto" w:after="40"/>
        <w:ind w:firstLine="420"/>
      </w:pPr>
      <w:r>
        <w:t>在高价值资产交易中，犯罪分子可能抬高或压低资产价值，以操纵交易并掩盖资金的真实性质</w:t>
      </w:r>
      <w:r>
        <w:rPr>
          <w:sz w:val="15"/>
          <w:vertAlign w:val="superscript"/>
        </w:rPr>
        <w:t>P129</w:t>
      </w:r>
      <w:r>
        <w:t>。题干显示，拟议转让价显著低于拍卖成交价，代理人又拒绝解释价差；这直接对应A所述的</w:t>
      </w:r>
      <w:r>
        <w:rPr>
          <w:b/>
        </w:rPr>
        <w:t>低价处置红旗</w:t>
      </w:r>
      <w:r>
        <w:t>。题干还明确说明委托人居住在欧盟列出的</w:t>
      </w:r>
      <w:r>
        <w:rPr>
          <w:b/>
        </w:rPr>
        <w:t>高风险第三国</w:t>
      </w:r>
      <w:r>
        <w:t>。教材将来自高风险或不合作司法管辖区的买家视为额外洗钱风险</w:t>
      </w:r>
      <w:r>
        <w:rPr>
          <w:sz w:val="15"/>
          <w:vertAlign w:val="superscript"/>
        </w:rPr>
        <w:t>P122</w:t>
      </w:r>
      <w:r>
        <w:t>，因此C也是独立的</w:t>
      </w:r>
      <w:r>
        <w:rPr>
          <w:b/>
        </w:rPr>
        <w:t>地理风险信号</w:t>
      </w:r>
      <w:r>
        <w:t>。综合</w:t>
      </w:r>
      <w:r>
        <w:rPr>
          <w:b/>
        </w:rPr>
        <w:t>交易行为</w:t>
      </w:r>
      <w:r>
        <w:t>和</w:t>
      </w:r>
      <w:r>
        <w:rPr>
          <w:b/>
        </w:rPr>
        <w:t>客户地理背景</w:t>
      </w:r>
      <w:r>
        <w:t>，应选择A、C。</w:t>
      </w:r>
    </w:p>
    <w:p>
      <w:pPr>
        <w:spacing w:before="120" w:after="40"/>
      </w:pPr>
      <w:r>
        <w:rPr>
          <w:b/>
          <w:sz w:val="21"/>
          <w:shd w:fill="D6E4F0" w:val="clear"/>
        </w:rPr>
        <w:t>教材原句：</w:t>
      </w:r>
    </w:p>
    <w:p>
      <w:pPr>
        <w:spacing w:line="360" w:lineRule="auto" w:after="40"/>
        <w:ind w:firstLine="420"/>
      </w:pPr>
      <w:r>
        <w:t>"Criminals inflate or deflate the asset’s value to manipulate financial transactions and obscure the true nature of the funds involved."</w:t>
      </w:r>
      <w:r>
        <w:rPr>
          <w:sz w:val="15"/>
          <w:vertAlign w:val="superscript"/>
        </w:rPr>
        <w:t>P129</w:t>
      </w:r>
    </w:p>
    <w:p>
      <w:pPr>
        <w:spacing w:before="120" w:after="40"/>
      </w:pPr>
      <w:r>
        <w:rPr>
          <w:b/>
          <w:sz w:val="21"/>
          <w:shd w:fill="D6E4F0" w:val="clear"/>
        </w:rPr>
        <w:t>B项错误：</w:t>
      </w:r>
    </w:p>
    <w:p>
      <w:pPr>
        <w:spacing w:line="360" w:lineRule="auto" w:after="40"/>
        <w:ind w:firstLine="420"/>
      </w:pPr>
      <w:r>
        <w:rPr>
          <w:b/>
        </w:rPr>
        <w:t>离岸公司</w:t>
      </w:r>
      <w:r>
        <w:t>可能用于遮蔽所有权，但“资产登记在离岸公司名下”本身没有说明</w:t>
      </w:r>
      <w:r>
        <w:rPr>
          <w:b/>
        </w:rPr>
        <w:t>所有权结构为何不透明</w:t>
      </w:r>
      <w:r>
        <w:t>、是否</w:t>
      </w:r>
      <w:r>
        <w:rPr>
          <w:b/>
        </w:rPr>
        <w:t>缺乏合理商业理由</w:t>
      </w:r>
      <w:r>
        <w:t>。与题干明确的异常低价和高风险居住地相比，B需要额外事实才能达到同等红旗强度</w:t>
      </w:r>
      <w:r>
        <w:rPr>
          <w:sz w:val="15"/>
          <w:vertAlign w:val="superscript"/>
        </w:rPr>
        <w:t>P122、P129</w:t>
      </w:r>
      <w:r>
        <w:t>。</w:t>
      </w:r>
    </w:p>
    <w:p>
      <w:pPr>
        <w:spacing w:before="120" w:after="40"/>
      </w:pPr>
      <w:r>
        <w:rPr>
          <w:b/>
          <w:sz w:val="21"/>
          <w:shd w:fill="D6E4F0" w:val="clear"/>
        </w:rPr>
        <w:t>易错提醒：</w:t>
      </w:r>
    </w:p>
    <w:p>
      <w:pPr>
        <w:spacing w:line="360" w:lineRule="auto" w:after="40"/>
        <w:ind w:firstLine="420"/>
      </w:pPr>
      <w:r>
        <w:t>本题同时考查</w:t>
      </w:r>
      <w:r>
        <w:rPr>
          <w:b/>
        </w:rPr>
        <w:t>交易异常</w:t>
      </w:r>
      <w:r>
        <w:t>和</w:t>
      </w:r>
      <w:r>
        <w:rPr>
          <w:b/>
        </w:rPr>
        <w:t>地理风险</w:t>
      </w:r>
      <w:r>
        <w:t>。低于近期成交价的处置属于</w:t>
      </w:r>
      <w:r>
        <w:rPr>
          <w:b/>
        </w:rPr>
        <w:t>估值操纵线索</w:t>
      </w:r>
      <w:r>
        <w:rPr>
          <w:sz w:val="15"/>
          <w:vertAlign w:val="superscript"/>
        </w:rPr>
        <w:t>P129</w:t>
      </w:r>
      <w:r>
        <w:t>；来自高风险司法管辖区属于</w:t>
      </w:r>
      <w:r>
        <w:rPr>
          <w:b/>
        </w:rPr>
        <w:t>客户固有风险线索</w:t>
      </w:r>
      <w:r>
        <w:rPr>
          <w:sz w:val="15"/>
          <w:vertAlign w:val="superscript"/>
        </w:rPr>
        <w:t>P122</w:t>
      </w:r>
      <w:r>
        <w:t>；</w:t>
      </w:r>
      <w:r>
        <w:rPr>
          <w:b/>
        </w:rPr>
        <w:t>离岸公司</w:t>
      </w:r>
      <w:r>
        <w:t>只有在伴随</w:t>
      </w:r>
      <w:r>
        <w:rPr>
          <w:b/>
        </w:rPr>
        <w:t>不透明所有权</w:t>
      </w:r>
      <w:r>
        <w:t>或</w:t>
      </w:r>
      <w:r>
        <w:rPr>
          <w:b/>
        </w:rPr>
        <w:t>缺乏合理商业理由</w:t>
      </w:r>
      <w:r>
        <w:t>时，才更接近直接红旗。</w:t>
      </w:r>
    </w:p>
    <w:p>
      <w:pPr>
        <w:spacing w:line="360" w:lineRule="auto" w:after="120"/>
      </w:pPr>
      <w:r/>
    </w:p>
    <w:p>
      <w:pPr>
        <w:spacing w:line="360" w:lineRule="auto" w:after="40"/>
      </w:pPr>
      <w:r>
        <w:t>8. In the context of terrorist financing, which of the following are potential indicators of the abuse of non-profit organizations (NPOs)? (Choose two.)</w:t>
      </w:r>
    </w:p>
    <w:p>
      <w:pPr>
        <w:spacing w:line="360" w:lineRule="auto" w:after="20"/>
        <w:ind w:firstLine="283"/>
      </w:pPr>
      <w:r>
        <w:t>A. Involvement in community development and humanitarian aid projects.</w:t>
      </w:r>
    </w:p>
    <w:p>
      <w:pPr>
        <w:spacing w:line="360" w:lineRule="auto" w:after="20"/>
        <w:ind w:firstLine="283"/>
      </w:pPr>
      <w:r>
        <w:t>B. Large and unaccounted cash donations from anonymous sources.</w:t>
      </w:r>
    </w:p>
    <w:p>
      <w:pPr>
        <w:spacing w:line="360" w:lineRule="auto" w:after="20"/>
        <w:ind w:firstLine="283"/>
      </w:pPr>
      <w:r>
        <w:t>C. Operating in high-risk jurisdictions with limited oversight.</w:t>
      </w:r>
    </w:p>
    <w:p>
      <w:pPr>
        <w:spacing w:line="360" w:lineRule="auto" w:after="20"/>
        <w:ind w:firstLine="283"/>
      </w:pPr>
      <w:r>
        <w:t>D. Frequent changes in leadership and mission statements.</w:t>
      </w:r>
    </w:p>
    <w:p>
      <w:pPr>
        <w:spacing w:line="360" w:lineRule="auto" w:after="20"/>
        <w:ind w:firstLine="283"/>
      </w:pPr>
      <w:r>
        <w:t>E. Extensive transparency in financial reporting and governance practices.</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识别慈善机构和非营利组织被恐怖融资滥用的风险特征</w:t>
      </w:r>
    </w:p>
    <w:p>
      <w:pPr>
        <w:spacing w:before="120" w:after="40"/>
      </w:pPr>
      <w:r>
        <w:rPr>
          <w:b/>
          <w:sz w:val="21"/>
          <w:shd w:fill="D6E4F0" w:val="clear"/>
        </w:rPr>
        <w:t>核心解析：</w:t>
      </w:r>
    </w:p>
    <w:p>
      <w:pPr>
        <w:spacing w:line="360" w:lineRule="auto" w:after="40"/>
        <w:ind w:firstLine="420"/>
      </w:pPr>
      <w:r>
        <w:t>教材明确指出，慈善机构和非政府组织可能获得来自</w:t>
      </w:r>
      <w:r>
        <w:rPr>
          <w:b/>
        </w:rPr>
        <w:t>未知或未披露来源的大量资金</w:t>
      </w:r>
      <w:r>
        <w:t>，并具有现金密集型特征；同时，这类组织往往在恐怖活动暴露区域附近开展活动，且可能处于</w:t>
      </w:r>
      <w:r>
        <w:rPr>
          <w:b/>
        </w:rPr>
        <w:t>监管很少或几乎没有监管的环境</w:t>
      </w:r>
      <w:r>
        <w:rPr>
          <w:sz w:val="15"/>
          <w:vertAlign w:val="superscript"/>
        </w:rPr>
        <w:t>P134</w:t>
      </w:r>
      <w:r>
        <w:t>。教材进一步说明，恐怖组织曾利用</w:t>
      </w:r>
      <w:r>
        <w:rPr>
          <w:b/>
        </w:rPr>
        <w:t>合法慈善机构和非政府组织为非法活动筹资</w:t>
      </w:r>
      <w:r>
        <w:rPr>
          <w:sz w:val="15"/>
          <w:vertAlign w:val="superscript"/>
        </w:rPr>
        <w:t>P135</w:t>
      </w:r>
      <w:r>
        <w:t>。因此，来自匿名来源的大额且无法说明来源的现金捐赠（B），以及在监管有限的高风险司法管辖区开展业务（C），均属于需要关注的潜在滥用迹象。</w:t>
      </w:r>
    </w:p>
    <w:p>
      <w:pPr>
        <w:spacing w:before="120" w:after="40"/>
      </w:pPr>
      <w:r>
        <w:rPr>
          <w:b/>
          <w:sz w:val="21"/>
          <w:shd w:fill="D6E4F0" w:val="clear"/>
        </w:rPr>
        <w:t>教材原句：</w:t>
      </w:r>
    </w:p>
    <w:p>
      <w:pPr>
        <w:spacing w:line="360" w:lineRule="auto" w:after="40"/>
        <w:ind w:firstLine="420"/>
      </w:pPr>
      <w:r>
        <w:t>"Having access to considerable funds from unknown or undisclosed sources"；"Often being subject to little or no regulation or having few obstacles to their creation"</w:t>
      </w:r>
      <w:r>
        <w:rPr>
          <w:sz w:val="15"/>
          <w:vertAlign w:val="superscript"/>
        </w:rPr>
        <w:t>P134</w:t>
      </w:r>
      <w:r>
        <w:t>。</w:t>
      </w:r>
    </w:p>
    <w:p>
      <w:pPr>
        <w:spacing w:before="120" w:after="40"/>
      </w:pPr>
      <w:r>
        <w:rPr>
          <w:b/>
          <w:sz w:val="21"/>
          <w:shd w:fill="D6E4F0" w:val="clear"/>
        </w:rPr>
        <w:t>A项错误：</w:t>
      </w:r>
    </w:p>
    <w:p>
      <w:pPr>
        <w:spacing w:line="360" w:lineRule="auto" w:after="40"/>
        <w:ind w:firstLine="420"/>
      </w:pPr>
      <w:r>
        <w:t>教材说明慈善机构和非政府组织本来就承担多种服务和人道主义职能</w:t>
      </w:r>
      <w:r>
        <w:rPr>
          <w:sz w:val="15"/>
          <w:vertAlign w:val="superscript"/>
        </w:rPr>
        <w:t>P134</w:t>
      </w:r>
      <w:r>
        <w:t>。参与社区发展或人道主义援助本身属于正常使命，不能单独作为被恐怖融资滥用的迹象。</w:t>
      </w:r>
    </w:p>
    <w:p>
      <w:pPr>
        <w:spacing w:before="120" w:after="40"/>
      </w:pPr>
      <w:r>
        <w:rPr>
          <w:b/>
          <w:sz w:val="21"/>
          <w:shd w:fill="D6E4F0" w:val="clear"/>
        </w:rPr>
        <w:t>D项错误：</w:t>
      </w:r>
    </w:p>
    <w:p>
      <w:pPr>
        <w:spacing w:line="360" w:lineRule="auto" w:after="40"/>
        <w:ind w:firstLine="420"/>
      </w:pPr>
      <w:r>
        <w:t>领导层或使命宣言频繁变化本身并不是该类组织被滥用的典型指标，不能仅凭组织变化推定恐怖融资风险。</w:t>
      </w:r>
    </w:p>
    <w:p>
      <w:pPr>
        <w:spacing w:before="120" w:after="40"/>
      </w:pPr>
      <w:r>
        <w:rPr>
          <w:b/>
          <w:sz w:val="21"/>
          <w:shd w:fill="D6E4F0" w:val="clear"/>
        </w:rPr>
        <w:t>E项错误：</w:t>
      </w:r>
    </w:p>
    <w:p>
      <w:pPr>
        <w:spacing w:line="360" w:lineRule="auto" w:after="40"/>
        <w:ind w:firstLine="420"/>
      </w:pPr>
      <w:r>
        <w:t>高度透明的财务报告和治理实践有助于验证组织的持续合法性，风险方向与匿名资金、现金密集和监管薄弱相反。</w:t>
      </w:r>
    </w:p>
    <w:p>
      <w:pPr>
        <w:spacing w:before="120" w:after="40"/>
      </w:pPr>
      <w:r>
        <w:rPr>
          <w:b/>
          <w:sz w:val="21"/>
          <w:shd w:fill="D6E4F0" w:val="clear"/>
        </w:rPr>
        <w:t>易错提醒：</w:t>
      </w:r>
    </w:p>
    <w:p>
      <w:pPr>
        <w:spacing w:line="360" w:lineRule="auto" w:after="40"/>
        <w:ind w:firstLine="420"/>
      </w:pPr>
      <w:r>
        <w:t>慈善或人道主义活动本身不是红旗信号</w:t>
      </w:r>
      <w:r>
        <w:rPr>
          <w:sz w:val="15"/>
          <w:vertAlign w:val="superscript"/>
        </w:rPr>
        <w:t>P134</w:t>
      </w:r>
      <w:r>
        <w:t>。应关注与正常公益使命叠加的资金和地域特征，例如未知来源的大额现金、恐怖活动暴露区域以及监管薄弱（P134-P135）。</w:t>
      </w:r>
    </w:p>
    <w:p>
      <w:pPr>
        <w:spacing w:line="360" w:lineRule="auto" w:after="120"/>
      </w:pPr>
      <w:r/>
    </w:p>
    <w:p>
      <w:pPr>
        <w:spacing w:line="360" w:lineRule="auto" w:after="40"/>
      </w:pPr>
      <w:r>
        <w:t>9. Which red flags could indicate increased terror financing and money laundering risks related to cultural objects? (Select three.)</w:t>
      </w:r>
    </w:p>
    <w:p>
      <w:pPr>
        <w:spacing w:line="360" w:lineRule="auto" w:after="20"/>
        <w:ind w:firstLine="283"/>
      </w:pPr>
      <w:r>
        <w:t>A. Engaging a third-party art advisor to represent the buyer at an auction without disclosing the actual buyer or beneficial owner.</w:t>
      </w:r>
    </w:p>
    <w:p>
      <w:pPr>
        <w:spacing w:line="360" w:lineRule="auto" w:after="20"/>
        <w:ind w:firstLine="283"/>
      </w:pPr>
      <w:r>
        <w:t>B. Anonymous accounts selling high-quality cultural objects of significant value on social media platforms at prices clearly inconsistent with market value.</w:t>
      </w:r>
    </w:p>
    <w:p>
      <w:pPr>
        <w:spacing w:line="360" w:lineRule="auto" w:after="20"/>
        <w:ind w:firstLine="283"/>
      </w:pPr>
      <w:r>
        <w:t>C. Use of art and antiquity experts to verify an item's authenticity.</w:t>
      </w:r>
    </w:p>
    <w:p>
      <w:pPr>
        <w:spacing w:line="360" w:lineRule="auto" w:after="20"/>
        <w:ind w:firstLine="283"/>
      </w:pPr>
      <w:r>
        <w:t>D. A transparent buyer paying an independently appraised fair market value for valuable art, gems, or precious metals at auction.</w:t>
      </w:r>
    </w:p>
    <w:p>
      <w:pPr>
        <w:spacing w:line="360" w:lineRule="auto" w:after="20"/>
        <w:ind w:firstLine="283"/>
      </w:pPr>
      <w:r>
        <w:t>E. Use of art storage facilities located in tax-free zones.</w:t>
      </w:r>
    </w:p>
    <w:p>
      <w:pPr>
        <w:spacing w:line="360" w:lineRule="auto" w:after="40"/>
      </w:pPr>
      <w:r>
        <w:t>答案：A、B、E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识别文化物品洗钱中，利用匿名代理、非传统渠道与监管洼地的风险信号</w:t>
      </w:r>
    </w:p>
    <w:p>
      <w:pPr>
        <w:spacing w:before="120" w:after="40"/>
      </w:pPr>
      <w:r>
        <w:rPr>
          <w:b/>
          <w:sz w:val="21"/>
          <w:shd w:fill="D6E4F0" w:val="clear"/>
        </w:rPr>
        <w:t>核心解析：</w:t>
      </w:r>
    </w:p>
    <w:p>
      <w:pPr>
        <w:spacing w:line="360" w:lineRule="auto" w:after="40"/>
        <w:ind w:firstLine="420"/>
      </w:pPr>
      <w:r>
        <w:t>文化物品相关风险来自</w:t>
      </w:r>
      <w:r>
        <w:rPr>
          <w:b/>
        </w:rPr>
        <w:t>高价值、易转移、难估值</w:t>
      </w:r>
      <w:r>
        <w:t>以及交易链条不透明等特征（P132-P133）。A 将艺术顾问作为拍卖代表，属于中介或代理层；在艺术品交易中，这种第三方代表若使真实买方或受益所有人难以识别，就与名义服务形成的</w:t>
      </w:r>
      <w:r>
        <w:rPr>
          <w:b/>
        </w:rPr>
        <w:t>匿名风险</w:t>
      </w:r>
      <w:r>
        <w:t>相近</w:t>
      </w:r>
      <w:r>
        <w:rPr>
          <w:sz w:val="15"/>
          <w:vertAlign w:val="superscript"/>
        </w:rPr>
        <w:t>P127</w:t>
      </w:r>
      <w:r>
        <w:t>。B 同时出现匿名账号、社交媒体非传统渠道和价格明显偏离市场价值，直接对应身份隐藏与价格不一致风险</w:t>
      </w:r>
      <w:r>
        <w:rPr>
          <w:sz w:val="15"/>
          <w:vertAlign w:val="superscript"/>
        </w:rPr>
        <w:t>P99、P132</w:t>
      </w:r>
      <w:r>
        <w:t>。E 直接对应自由贸易区用于存储艺术品、古董和贵金属并可能成为被盗艺术品非法贸易平台的情形</w:t>
      </w:r>
      <w:r>
        <w:rPr>
          <w:sz w:val="15"/>
          <w:vertAlign w:val="superscript"/>
        </w:rPr>
        <w:t>P18</w:t>
      </w:r>
      <w:r>
        <w:t>。三项比 C、D 更直接地指向匿名代理、非传统销售渠道和监管薄弱环境。</w:t>
      </w:r>
    </w:p>
    <w:p>
      <w:pPr>
        <w:spacing w:before="120" w:after="40"/>
      </w:pPr>
      <w:r>
        <w:rPr>
          <w:b/>
          <w:sz w:val="21"/>
          <w:shd w:fill="D6E4F0" w:val="clear"/>
        </w:rPr>
        <w:t>C项错误：</w:t>
      </w:r>
    </w:p>
    <w:p>
      <w:pPr>
        <w:spacing w:line="360" w:lineRule="auto" w:after="40"/>
        <w:ind w:firstLine="420"/>
      </w:pPr>
      <w:r>
        <w:t>专家鉴定真伪通常增加交易透明度、降低假货和估值不确定性；题干没有给出专家与卖方串通、虚假鉴定或借鉴定掩盖来源等额外事实，因此单独不构成红旗。</w:t>
      </w:r>
    </w:p>
    <w:p>
      <w:pPr>
        <w:spacing w:before="120" w:after="40"/>
      </w:pPr>
      <w:r>
        <w:rPr>
          <w:b/>
          <w:sz w:val="21"/>
          <w:shd w:fill="D6E4F0" w:val="clear"/>
        </w:rPr>
        <w:t>D项错误：</w:t>
      </w:r>
    </w:p>
    <w:p>
      <w:pPr>
        <w:spacing w:line="360" w:lineRule="auto" w:after="40"/>
        <w:ind w:firstLine="420"/>
      </w:pPr>
      <w:r>
        <w:t>教材将价格与公平市场价值不一致列为风险信号</w:t>
      </w:r>
      <w:r>
        <w:rPr>
          <w:sz w:val="15"/>
          <w:vertAlign w:val="superscript"/>
        </w:rPr>
        <w:t>P133</w:t>
      </w:r>
      <w:r>
        <w:t>；D 明确为身份透明买方按独立估值确认的公平市场价购买，题干没有给出价格偏离、身份隐藏或来源异常等事实，因此其风险指示性弱于 A、B、E。</w:t>
      </w:r>
    </w:p>
    <w:p>
      <w:pPr>
        <w:spacing w:before="120" w:after="40"/>
      </w:pPr>
      <w:r>
        <w:rPr>
          <w:b/>
          <w:sz w:val="21"/>
          <w:shd w:fill="D6E4F0" w:val="clear"/>
        </w:rPr>
        <w:t>易错提醒：</w:t>
      </w:r>
    </w:p>
    <w:p>
      <w:pPr>
        <w:spacing w:line="360" w:lineRule="auto" w:after="40"/>
        <w:ind w:firstLine="420"/>
      </w:pPr>
      <w:r>
        <w:t>本题易混淆点为“利用专家鉴定真伪”与“利用第三方隐藏身份”。前者是正常的身份核实或价值确认，后者（如名义顾问）目的是制造匿名层</w:t>
      </w:r>
      <w:r>
        <w:rPr>
          <w:sz w:val="15"/>
          <w:vertAlign w:val="superscript"/>
        </w:rPr>
        <w:t>P127</w:t>
      </w:r>
      <w:r>
        <w:t>。区分关键在于该行为是增加透明度还是增加不透明性。</w:t>
      </w:r>
    </w:p>
    <w:p>
      <w:pPr>
        <w:spacing w:line="360" w:lineRule="auto" w:after="120"/>
      </w:pPr>
      <w:r/>
    </w:p>
    <w:p>
      <w:pPr>
        <w:spacing w:line="360" w:lineRule="auto" w:after="40"/>
      </w:pPr>
      <w:r>
        <w:t>10. Financial crime risk related to the use of "hawalas" can stem from: (Select Two.)</w:t>
      </w:r>
    </w:p>
    <w:p>
      <w:pPr>
        <w:spacing w:line="360" w:lineRule="auto" w:after="20"/>
        <w:ind w:firstLine="283"/>
      </w:pPr>
      <w:r>
        <w:t>A. Difficulty in tracking the originator, recipient, and source of transactions</w:t>
      </w:r>
    </w:p>
    <w:p>
      <w:pPr>
        <w:spacing w:line="360" w:lineRule="auto" w:after="20"/>
        <w:ind w:firstLine="283"/>
      </w:pPr>
      <w:r>
        <w:t>B. Remote verification of identity by third-party program managers</w:t>
      </w:r>
    </w:p>
    <w:p>
      <w:pPr>
        <w:spacing w:line="360" w:lineRule="auto" w:after="20"/>
        <w:ind w:firstLine="283"/>
      </w:pPr>
      <w:r>
        <w:t>C. Heavy usage by senior political figures</w:t>
      </w:r>
    </w:p>
    <w:p>
      <w:pPr>
        <w:spacing w:line="360" w:lineRule="auto" w:after="20"/>
        <w:ind w:firstLine="283"/>
      </w:pPr>
      <w:r>
        <w:t>D. Informal networks used for cross-border transactions outside of the formal banking system</w:t>
      </w:r>
    </w:p>
    <w:p>
      <w:pPr>
        <w:spacing w:line="360" w:lineRule="auto" w:after="20"/>
        <w:ind w:firstLine="283"/>
      </w:pPr>
      <w:r>
        <w:t>E. Heightened risks of returned transactions</w:t>
      </w:r>
    </w:p>
    <w:p>
      <w:pPr>
        <w:spacing w:line="360" w:lineRule="auto" w:after="40"/>
      </w:pPr>
      <w:r>
        <w:t>答案：D、E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识别哈瓦拉作为非正规价值转移系统的核心风险特征</w:t>
      </w:r>
    </w:p>
    <w:p>
      <w:pPr>
        <w:spacing w:before="120" w:after="40"/>
      </w:pPr>
      <w:r>
        <w:rPr>
          <w:b/>
          <w:sz w:val="21"/>
          <w:shd w:fill="D6E4F0" w:val="clear"/>
        </w:rPr>
        <w:t>核心解析：</w:t>
      </w:r>
    </w:p>
    <w:p>
      <w:pPr>
        <w:spacing w:line="360" w:lineRule="auto" w:after="40"/>
        <w:ind w:firstLine="420"/>
      </w:pPr>
      <w:r>
        <w:t>哈瓦拉是最知名的替代性汇款系统形式，被定义为</w:t>
      </w:r>
      <w:r>
        <w:rPr>
          <w:b/>
        </w:rPr>
        <w:t>“涉及在合法银行体系之外进行国际价值转移的非正式系统”</w:t>
      </w:r>
      <w:r>
        <w:rPr>
          <w:sz w:val="15"/>
          <w:vertAlign w:val="superscript"/>
        </w:rPr>
        <w:t>P133</w:t>
      </w:r>
      <w:r>
        <w:t>。该定义直接揭示了其两大核心风险来源：第一，它依赖</w:t>
      </w:r>
      <w:r>
        <w:rPr>
          <w:b/>
        </w:rPr>
        <w:t>非正式网络进行跨境交易</w:t>
      </w:r>
      <w:r>
        <w:t>，脱离正规银行监管框架，这与选项D完全吻合；第二，哈瓦拉作为</w:t>
      </w:r>
      <w:r>
        <w:rPr>
          <w:b/>
        </w:rPr>
        <w:t>不受监管的转账方式</w:t>
      </w:r>
      <w:r>
        <w:t>，其运作依赖于信任和匿名性</w:t>
      </w:r>
      <w:r>
        <w:rPr>
          <w:sz w:val="15"/>
          <w:vertAlign w:val="superscript"/>
        </w:rPr>
        <w:t>P134</w:t>
      </w:r>
      <w:r>
        <w:t>，交易不涉及银行或货币服务企业，不产生数字记录，因此</w:t>
      </w:r>
      <w:r>
        <w:rPr>
          <w:b/>
        </w:rPr>
        <w:t>难以追踪交易的发起方、接收方和资金来源</w:t>
      </w:r>
      <w:r>
        <w:t>，这与选项E完全吻合。题干问的是“与使用哈瓦拉相关的金融犯罪风险可能源于什么”，这两项正是从哈瓦拉的定义性特征中直接推导出的风险来源。</w:t>
      </w:r>
    </w:p>
    <w:p>
      <w:pPr>
        <w:spacing w:before="120" w:after="40"/>
      </w:pPr>
      <w:r>
        <w:rPr>
          <w:b/>
          <w:sz w:val="21"/>
          <w:shd w:fill="D6E4F0" w:val="clear"/>
        </w:rPr>
        <w:t>教材原句：</w:t>
      </w:r>
    </w:p>
    <w:p>
      <w:pPr>
        <w:spacing w:line="360" w:lineRule="auto" w:after="40"/>
        <w:ind w:firstLine="420"/>
      </w:pPr>
      <w:r>
        <w:t>"The best-known form of ARS is a hawala, an informal system involving the international transfer of value outside the legitimate banking system."</w:t>
      </w:r>
    </w:p>
    <w:p>
      <w:pPr>
        <w:spacing w:before="120" w:after="40"/>
      </w:pPr>
      <w:r>
        <w:rPr>
          <w:b/>
          <w:sz w:val="21"/>
          <w:shd w:fill="D6E4F0" w:val="clear"/>
        </w:rPr>
        <w:t>A项错误：</w:t>
      </w:r>
    </w:p>
    <w:p>
      <w:pPr>
        <w:spacing w:line="360" w:lineRule="auto" w:after="40"/>
        <w:ind w:firstLine="420"/>
      </w:pPr>
      <w:r>
        <w:t>远程身份验证涉及数字开户和生物识别等监管技术应用场景（P372-P413），与哈瓦拉作为非正规价值转移系统分属完全不同的主题领域。哈瓦拉的核心特征是脱离正规系统和依赖人际信任，题干未涉及数字化客户准入，此项无关联要素。</w:t>
      </w:r>
    </w:p>
    <w:p>
      <w:pPr>
        <w:spacing w:before="120" w:after="40"/>
      </w:pPr>
      <w:r>
        <w:rPr>
          <w:b/>
          <w:sz w:val="21"/>
          <w:shd w:fill="D6E4F0" w:val="clear"/>
        </w:rPr>
        <w:t>B项错误：</w:t>
      </w:r>
    </w:p>
    <w:p>
      <w:pPr>
        <w:spacing w:line="360" w:lineRule="auto" w:after="40"/>
        <w:ind w:firstLine="420"/>
      </w:pPr>
      <w:r>
        <w:t>政治敏感人物确实因接触公共资金而面临更高的贿赂和腐败风险</w:t>
      </w:r>
      <w:r>
        <w:rPr>
          <w:sz w:val="15"/>
          <w:vertAlign w:val="superscript"/>
        </w:rPr>
        <w:t>P320</w:t>
      </w:r>
      <w:r>
        <w:t>，但教材在阐述哈瓦拉的金融犯罪风险时，并未将“特定用户群体大量使用”列为风险来源，而是聚焦于哈瓦拉系统本身脱离监管和匿名化的结构特征。题干更直接指向哈瓦拉作为一种非正规机制的内在风险，而非某一类使用者的身份风险。</w:t>
      </w:r>
    </w:p>
    <w:p>
      <w:pPr>
        <w:spacing w:before="120" w:after="40"/>
      </w:pPr>
      <w:r>
        <w:rPr>
          <w:b/>
          <w:sz w:val="21"/>
          <w:shd w:fill="D6E4F0" w:val="clear"/>
        </w:rPr>
        <w:t>C项错误：</w:t>
      </w:r>
    </w:p>
    <w:p>
      <w:pPr>
        <w:spacing w:line="360" w:lineRule="auto" w:after="40"/>
        <w:ind w:firstLine="420"/>
      </w:pPr>
      <w:r>
        <w:t>教材在讨论机构面临的金融犯罪风险类型时提到操作风险、法律风险、集中风险等</w:t>
      </w:r>
      <w:r>
        <w:rPr>
          <w:sz w:val="15"/>
          <w:vertAlign w:val="superscript"/>
        </w:rPr>
        <w:t>P46</w:t>
      </w:r>
      <w:r>
        <w:t>，但未将“交易退回风险增加”列为与哈瓦拉使用相关的风险。哈瓦拉的特征在于绕过正规渠道完成价值转移，而非交易退回。相比D和E直接源于哈瓦拉定义本身，此项缺乏教材支撑。</w:t>
      </w:r>
    </w:p>
    <w:p>
      <w:pPr>
        <w:spacing w:before="120" w:after="40"/>
      </w:pPr>
      <w:r>
        <w:rPr>
          <w:b/>
          <w:sz w:val="21"/>
          <w:shd w:fill="D6E4F0" w:val="clear"/>
        </w:rPr>
        <w:t>易错提醒：</w:t>
      </w:r>
    </w:p>
    <w:p>
      <w:pPr>
        <w:spacing w:line="360" w:lineRule="auto" w:after="40"/>
        <w:ind w:firstLine="420"/>
      </w:pPr>
      <w:r>
        <w:t>容易混淆“谁在用哈瓦拉”和“哈瓦拉为什么有风险”。PEP使用哈瓦拉可能增加合规关注度，但教材对哈瓦拉金融犯罪风险的界定以系统本身的非正规架构和匿名性为核心，而非基于用户身份。换一道题，如果问的是“哪类用户使用哈瓦拉可能引发更高的反洗钱关注”，PEP才是更匹配的方向。</w:t>
      </w:r>
    </w:p>
    <w:p>
      <w:pPr>
        <w:spacing w:line="360" w:lineRule="auto" w:after="120"/>
      </w:pPr>
      <w:r/>
    </w:p>
    <w:p>
      <w:pPr>
        <w:spacing w:line="360" w:lineRule="auto" w:after="40"/>
      </w:pPr>
      <w:r>
        <w:t>11. Which risks are specifically associated with the misuse of gambling accounts in financial crime? (Choose three.)</w:t>
      </w:r>
    </w:p>
    <w:p>
      <w:pPr>
        <w:spacing w:line="360" w:lineRule="auto" w:after="20"/>
        <w:ind w:firstLine="283"/>
      </w:pPr>
      <w:r>
        <w:t>A. Using gambling accounts to transfer illicit funds between players undetected</w:t>
      </w:r>
    </w:p>
    <w:p>
      <w:pPr>
        <w:spacing w:line="360" w:lineRule="auto" w:after="20"/>
        <w:ind w:firstLine="283"/>
      </w:pPr>
      <w:r>
        <w:t>B. Structuring transactions to avoid reporting thresholds by keeping them under certain limits</w:t>
      </w:r>
    </w:p>
    <w:p>
      <w:pPr>
        <w:spacing w:line="360" w:lineRule="auto" w:after="20"/>
        <w:ind w:firstLine="283"/>
      </w:pPr>
      <w:r>
        <w:t>C. Providing false personal information to evade regulatory oversight</w:t>
      </w:r>
    </w:p>
    <w:p>
      <w:pPr>
        <w:spacing w:line="360" w:lineRule="auto" w:after="20"/>
        <w:ind w:firstLine="283"/>
      </w:pPr>
      <w:r>
        <w:t>D. Ensuring identity verification is completed prior to the onboarding of new customers</w:t>
      </w:r>
    </w:p>
    <w:p>
      <w:pPr>
        <w:spacing w:line="360" w:lineRule="auto" w:after="20"/>
        <w:ind w:firstLine="283"/>
      </w:pPr>
      <w:r>
        <w:t>E. Investing all gambling winnings into high-risk stocks to conceal funds</w:t>
      </w:r>
    </w:p>
    <w:p>
      <w:pPr>
        <w:spacing w:line="360" w:lineRule="auto" w:after="40"/>
      </w:pPr>
      <w:r>
        <w:t>答案：A、B、C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识别博彩账户被滥用的</w:t>
      </w:r>
      <w:r>
        <w:rPr>
          <w:b/>
        </w:rPr>
        <w:t>价值转移、结构化和身份伪造风险</w:t>
      </w:r>
      <w:r>
        <w:t>。</w:t>
      </w:r>
    </w:p>
    <w:p>
      <w:pPr>
        <w:spacing w:before="120" w:after="40"/>
      </w:pPr>
      <w:r>
        <w:rPr>
          <w:b/>
          <w:sz w:val="21"/>
          <w:shd w:fill="D6E4F0" w:val="clear"/>
        </w:rPr>
        <w:t>核心解析：</w:t>
      </w:r>
    </w:p>
    <w:p>
      <w:pPr>
        <w:spacing w:line="360" w:lineRule="auto" w:after="40"/>
        <w:ind w:firstLine="420"/>
      </w:pPr>
      <w:r>
        <w:t>博彩账户可能被用于</w:t>
      </w:r>
      <w:r>
        <w:rPr>
          <w:b/>
        </w:rPr>
        <w:t>玩家之间转移价值或故意输赢</w:t>
      </w:r>
      <w:r>
        <w:t>，对应A；博彩活动也可能通过第三方和多笔交易把金额控制在报告门槛以下，对应B；在线运营商还可能遭遇伪造文件或虚假身份开设多个账户，对应C（P120-P121）。三项都是账户被滥用的风险，而不是控制措施。</w:t>
      </w:r>
    </w:p>
    <w:p>
      <w:pPr>
        <w:spacing w:before="120" w:after="40"/>
      </w:pPr>
      <w:r>
        <w:rPr>
          <w:b/>
          <w:sz w:val="21"/>
          <w:shd w:fill="D6E4F0" w:val="clear"/>
        </w:rPr>
        <w:t>D项错误：</w:t>
      </w:r>
    </w:p>
    <w:p>
      <w:pPr>
        <w:spacing w:line="360" w:lineRule="auto" w:after="40"/>
        <w:ind w:firstLine="420"/>
      </w:pPr>
      <w:r>
        <w:t>开户前身份验证是缓释风险的控制措施，不是风险本身。</w:t>
      </w:r>
    </w:p>
    <w:p>
      <w:pPr>
        <w:spacing w:before="120" w:after="40"/>
      </w:pPr>
      <w:r>
        <w:rPr>
          <w:b/>
          <w:sz w:val="21"/>
          <w:shd w:fill="D6E4F0" w:val="clear"/>
        </w:rPr>
        <w:t>E项错误：</w:t>
      </w:r>
    </w:p>
    <w:p>
      <w:pPr>
        <w:spacing w:line="360" w:lineRule="auto" w:after="40"/>
        <w:ind w:firstLine="420"/>
      </w:pPr>
      <w:r>
        <w:t>将收益投资于股票属于资金离开博彩账户后的后续分层手段，不是博彩账户特有的滥用方式。</w:t>
      </w:r>
    </w:p>
    <w:p>
      <w:pPr>
        <w:spacing w:before="120" w:after="40"/>
      </w:pPr>
      <w:r>
        <w:rPr>
          <w:b/>
          <w:sz w:val="21"/>
          <w:shd w:fill="D6E4F0" w:val="clear"/>
        </w:rPr>
        <w:t>易错提醒：</w:t>
      </w:r>
    </w:p>
    <w:p>
      <w:pPr>
        <w:spacing w:line="360" w:lineRule="auto" w:after="40"/>
        <w:ind w:firstLine="420"/>
      </w:pPr>
      <w:r>
        <w:t>题目问“风险”时，寻找</w:t>
      </w:r>
      <w:r>
        <w:rPr>
          <w:b/>
        </w:rPr>
        <w:t>犯罪分子利用账户做什么</w:t>
      </w:r>
      <w:r>
        <w:t>（P120-P121）；身份验证属于机构如何防范，方向相反。</w:t>
      </w:r>
    </w:p>
    <w:p>
      <w:pPr>
        <w:spacing w:line="360" w:lineRule="auto" w:after="120"/>
      </w:pPr>
      <w:r/>
    </w:p>
    <w:p>
      <w:pPr>
        <w:spacing w:line="360" w:lineRule="auto" w:after="40"/>
      </w:pPr>
      <w:r>
        <w:t>12. Financial crime risk related to the use of "hawalas" can stem from: (Select Two.)</w:t>
      </w:r>
    </w:p>
    <w:p>
      <w:pPr>
        <w:spacing w:line="360" w:lineRule="auto" w:after="20"/>
        <w:ind w:firstLine="283"/>
      </w:pPr>
      <w:r>
        <w:t>A. Difficulty in tracking the originator, recipient, and source of transactions</w:t>
      </w:r>
    </w:p>
    <w:p>
      <w:pPr>
        <w:spacing w:line="360" w:lineRule="auto" w:after="20"/>
        <w:ind w:firstLine="283"/>
      </w:pPr>
      <w:r>
        <w:t>B. Remote verification of identity by third-party program managers</w:t>
      </w:r>
    </w:p>
    <w:p>
      <w:pPr>
        <w:spacing w:line="360" w:lineRule="auto" w:after="20"/>
        <w:ind w:firstLine="283"/>
      </w:pPr>
      <w:r>
        <w:t>C. Heavy usage by senior political figures</w:t>
      </w:r>
    </w:p>
    <w:p>
      <w:pPr>
        <w:spacing w:line="360" w:lineRule="auto" w:after="20"/>
        <w:ind w:firstLine="283"/>
      </w:pPr>
      <w:r>
        <w:t>D. Informal networks used for cross-border transactions outside of the formal banking system</w:t>
      </w:r>
    </w:p>
    <w:p>
      <w:pPr>
        <w:spacing w:line="360" w:lineRule="auto" w:after="20"/>
        <w:ind w:firstLine="283"/>
      </w:pPr>
      <w:r>
        <w:t>E. Heightened risks of returned transactions</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哈瓦拉的核心风险特征：匿名性与游离于正规银行体系外</w:t>
      </w:r>
    </w:p>
    <w:p>
      <w:pPr>
        <w:spacing w:before="120" w:after="40"/>
      </w:pPr>
      <w:r>
        <w:rPr>
          <w:b/>
          <w:sz w:val="21"/>
          <w:shd w:fill="D6E4F0" w:val="clear"/>
        </w:rPr>
        <w:t>核心解析：</w:t>
      </w:r>
    </w:p>
    <w:p>
      <w:pPr>
        <w:spacing w:line="360" w:lineRule="auto" w:after="40"/>
        <w:ind w:firstLine="420"/>
      </w:pPr>
      <w:r>
        <w:t>哈瓦拉是最知名的替代性汇款系统（ARS）形式，指在正规银行体系之外进行国际价值转移的</w:t>
      </w:r>
      <w:r>
        <w:rPr>
          <w:b/>
        </w:rPr>
        <w:t>非正式系统</w:t>
      </w:r>
      <w:r>
        <w:rPr>
          <w:sz w:val="15"/>
          <w:vertAlign w:val="superscript"/>
        </w:rPr>
        <w:t>P133</w:t>
      </w:r>
      <w:r>
        <w:t>。其运行依赖</w:t>
      </w:r>
      <w:r>
        <w:rPr>
          <w:b/>
        </w:rPr>
        <w:t>信任和匿名性</w:t>
      </w:r>
      <w:r>
        <w:t>，不通过银行或货币服务企业完成价值跨境转移与货币兑换（P133-P134）。题干问哈瓦拉相关的金融犯罪风险源于什么——A项“难以追踪交易的发起方、接收方和资金来源”直接对应哈瓦拉的匿名性特征，教材指出恐怖融资者利用ARS提供的信任和匿名性转移资金</w:t>
      </w:r>
      <w:r>
        <w:rPr>
          <w:sz w:val="15"/>
          <w:vertAlign w:val="superscript"/>
        </w:rPr>
        <w:t>P134</w:t>
      </w:r>
      <w:r>
        <w:t>，且哈瓦拉经纪人通过非正规网络掩盖资金踪迹</w:t>
      </w:r>
      <w:r>
        <w:rPr>
          <w:sz w:val="15"/>
          <w:vertAlign w:val="superscript"/>
        </w:rPr>
        <w:t>P39</w:t>
      </w:r>
      <w:r>
        <w:t>。D项“用于跨境交易的非正式网络，游离于正规银行体系之外”则本身就是教材对哈瓦拉的定义</w:t>
      </w:r>
      <w:r>
        <w:rPr>
          <w:sz w:val="15"/>
          <w:vertAlign w:val="superscript"/>
        </w:rPr>
        <w:t>P133</w:t>
      </w:r>
      <w:r>
        <w:t>，是哈瓦拉的根本属性。这两项共同构成哈瓦拉作为金融犯罪风险来源的核心逻辑：</w:t>
      </w:r>
      <w:r>
        <w:rPr>
          <w:b/>
        </w:rPr>
        <w:t>非正规、无银行中介、匿名、难以追踪</w:t>
      </w:r>
      <w:r>
        <w:t>。</w:t>
      </w:r>
    </w:p>
    <w:p>
      <w:pPr>
        <w:spacing w:before="120" w:after="40"/>
      </w:pPr>
      <w:r>
        <w:rPr>
          <w:b/>
          <w:sz w:val="21"/>
          <w:shd w:fill="D6E4F0" w:val="clear"/>
        </w:rPr>
        <w:t>教材原句：</w:t>
      </w:r>
    </w:p>
    <w:p>
      <w:pPr>
        <w:spacing w:line="360" w:lineRule="auto" w:after="40"/>
        <w:ind w:firstLine="420"/>
      </w:pPr>
      <w:r>
        <w:t>"The best-known form of ARS is a hawala, an informal system involving the international transfer of value outside the legitimate banking system."</w:t>
      </w:r>
    </w:p>
    <w:p>
      <w:pPr>
        <w:spacing w:before="120" w:after="40"/>
      </w:pPr>
      <w:r>
        <w:rPr>
          <w:b/>
          <w:sz w:val="21"/>
          <w:shd w:fill="D6E4F0" w:val="clear"/>
        </w:rPr>
        <w:t>B项错误：</w:t>
      </w:r>
    </w:p>
    <w:p>
      <w:pPr>
        <w:spacing w:line="360" w:lineRule="auto" w:after="40"/>
        <w:ind w:firstLine="420"/>
      </w:pPr>
      <w:r>
        <w:t>“远程身份验证”是电子了解你的客户（eKYC）领域的概念，指通过数字流程替代传统纸质方法实现远程身份确认</w:t>
      </w:r>
      <w:r>
        <w:rPr>
          <w:sz w:val="15"/>
          <w:vertAlign w:val="superscript"/>
        </w:rPr>
        <w:t>P405</w:t>
      </w:r>
      <w:r>
        <w:t>，与零售银行远程开户场景相关</w:t>
      </w:r>
      <w:r>
        <w:rPr>
          <w:sz w:val="15"/>
          <w:vertAlign w:val="superscript"/>
        </w:rPr>
        <w:t>P64</w:t>
      </w:r>
      <w:r>
        <w:t>。题干问的是哈瓦拉这种替代性汇款系统的金融犯罪风险，eKYC属于合规科技手段而非非正规资金转移渠道，两者在教材中处于完全不同的业务框架。</w:t>
      </w:r>
    </w:p>
    <w:p>
      <w:pPr>
        <w:spacing w:before="120" w:after="40"/>
      </w:pPr>
      <w:r>
        <w:rPr>
          <w:b/>
          <w:sz w:val="21"/>
          <w:shd w:fill="D6E4F0" w:val="clear"/>
        </w:rPr>
        <w:t>C项错误：</w:t>
      </w:r>
    </w:p>
    <w:p>
      <w:pPr>
        <w:spacing w:line="360" w:lineRule="auto" w:after="40"/>
        <w:ind w:firstLine="420"/>
      </w:pPr>
      <w:r>
        <w:t>政治敏感人物（PEPs）确实面临更高的贿赂与腐败风险</w:t>
      </w:r>
      <w:r>
        <w:rPr>
          <w:sz w:val="15"/>
          <w:vertAlign w:val="superscript"/>
        </w:rPr>
        <w:t>P320</w:t>
      </w:r>
      <w:r>
        <w:t>，但教材在分析哈瓦拉的使用群体时，明确指出其流行于缺乏银行渠道的边缘化社区以及不希望留下交易数字记录的个人</w:t>
      </w:r>
      <w:r>
        <w:rPr>
          <w:sz w:val="15"/>
          <w:vertAlign w:val="superscript"/>
        </w:rPr>
        <w:t>P134</w:t>
      </w:r>
      <w:r>
        <w:t>，并未将PEPs列为哈瓦拉的典型使用者。题干条件更直接匹配的是匿名性和非正规体系，而非某一特定身份群体的使用频率。</w:t>
      </w:r>
    </w:p>
    <w:p>
      <w:pPr>
        <w:spacing w:before="120" w:after="40"/>
      </w:pPr>
      <w:r>
        <w:rPr>
          <w:b/>
          <w:sz w:val="21"/>
          <w:shd w:fill="D6E4F0" w:val="clear"/>
        </w:rPr>
        <w:t>E项错误：</w:t>
      </w:r>
    </w:p>
    <w:p>
      <w:pPr>
        <w:spacing w:line="360" w:lineRule="auto" w:after="40"/>
        <w:ind w:firstLine="420"/>
      </w:pPr>
      <w:r>
        <w:t>教材在讨论哈瓦拉及相关替代性汇款系统时，未曾提及“交易被退回”这一风险维度。哈瓦拉的机制是基于经纪人之间的债务安排进行等额货币转移</w:t>
      </w:r>
      <w:r>
        <w:rPr>
          <w:sz w:val="15"/>
          <w:vertAlign w:val="superscript"/>
        </w:rPr>
        <w:t>P133</w:t>
      </w:r>
      <w:r>
        <w:t>，其风险集中在匿名性、缺乏监管和资金踪迹模糊，而非交易退回风险——该概念在教材中更多与制裁筛查、支付拦截等场景相关（P306-P307），与哈瓦拉无直接关联。</w:t>
      </w:r>
    </w:p>
    <w:p>
      <w:pPr>
        <w:spacing w:line="360" w:lineRule="auto" w:after="120"/>
      </w:pPr>
      <w:r/>
    </w:p>
    <w:p>
      <w:pPr>
        <w:spacing w:line="360" w:lineRule="auto" w:after="40"/>
      </w:pPr>
      <w:r>
        <w:t>13. Which of the following conditions contribute to a politically exposed person (PEP) posing greater risk than a typical high-risk bank customer? (Select two.)</w:t>
      </w:r>
    </w:p>
    <w:p>
      <w:pPr>
        <w:spacing w:line="360" w:lineRule="auto" w:after="20"/>
        <w:ind w:firstLine="283"/>
      </w:pPr>
      <w:r>
        <w:t>A. The family members and close associates of PEPs may be involved in illicit activities</w:t>
      </w:r>
    </w:p>
    <w:p>
      <w:pPr>
        <w:spacing w:line="360" w:lineRule="auto" w:after="20"/>
        <w:ind w:firstLine="283"/>
      </w:pPr>
      <w:r>
        <w:t>B. PEPs are granted unlimited credit and financial immunity under international banking regulations</w:t>
      </w:r>
    </w:p>
    <w:p>
      <w:pPr>
        <w:spacing w:line="360" w:lineRule="auto" w:after="20"/>
        <w:ind w:firstLine="283"/>
      </w:pPr>
      <w:r>
        <w:t>C. PEPs may exploit embassy activities to conceal bribery and corruption transactions</w:t>
      </w:r>
    </w:p>
    <w:p>
      <w:pPr>
        <w:spacing w:line="360" w:lineRule="auto" w:after="20"/>
        <w:ind w:firstLine="283"/>
      </w:pPr>
      <w:r>
        <w:t>D. PEPs can have illegitimate fund sources but are legally protected from having their accounts closed for activities outside the bank's risk tolerance</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PEP近亲属风险</w:t>
      </w:r>
      <w:r>
        <w:t>及利用</w:t>
      </w:r>
      <w:r>
        <w:rPr>
          <w:b/>
        </w:rPr>
        <w:t>使馆活动</w:t>
      </w:r>
      <w:r>
        <w:t>掩盖</w:t>
      </w:r>
      <w:r>
        <w:rPr>
          <w:b/>
        </w:rPr>
        <w:t>贿赂腐败</w:t>
      </w:r>
      <w:r>
        <w:t>的风险</w:t>
      </w:r>
    </w:p>
    <w:p>
      <w:pPr>
        <w:spacing w:before="120" w:after="40"/>
      </w:pPr>
      <w:r>
        <w:rPr>
          <w:b/>
          <w:sz w:val="21"/>
          <w:shd w:fill="D6E4F0" w:val="clear"/>
        </w:rPr>
        <w:t>核心解析：</w:t>
      </w:r>
    </w:p>
    <w:p>
      <w:pPr>
        <w:spacing w:line="360" w:lineRule="auto" w:after="40"/>
        <w:ind w:firstLine="420"/>
      </w:pPr>
      <w:r>
        <w:t>PEP指担任显要公职的个人及其</w:t>
      </w:r>
      <w:r>
        <w:rPr>
          <w:b/>
        </w:rPr>
        <w:t>直系亲属或密切关联人</w:t>
      </w:r>
      <w:r>
        <w:t>，可能面临更高的贿赂和腐败风险</w:t>
      </w:r>
      <w:r>
        <w:rPr>
          <w:sz w:val="15"/>
          <w:vertAlign w:val="superscript"/>
        </w:rPr>
        <w:t>P137</w:t>
      </w:r>
      <w:r>
        <w:t>。题干问哪些条件导致PEP比一般高风险客户风险更大：</w:t>
      </w:r>
      <w:r>
        <w:rPr>
          <w:b/>
        </w:rPr>
        <w:t>家庭成员和密切关系人</w:t>
      </w:r>
      <w:r>
        <w:t>本身就是PEP定义的组成部分，其可能参与非法活动，天然扩大了受威胁的范围（A正确）。另一方面，使馆相关政府关系因涉及个人通常被归为PEP而给银行带来不同程度的风险，且通过个人账户开展使馆官方业务会引发</w:t>
      </w:r>
      <w:r>
        <w:rPr>
          <w:b/>
        </w:rPr>
        <w:t>交易透明度和合法性问题</w:t>
      </w:r>
      <w:r>
        <w:t>，容易被用来掩盖贿赂和腐败交易，这构成了PEP特有的额外风险通道（C正确）</w:t>
      </w:r>
      <w:r>
        <w:rPr>
          <w:sz w:val="15"/>
          <w:vertAlign w:val="superscript"/>
        </w:rPr>
        <w:t>P138</w:t>
      </w:r>
      <w:r>
        <w:t>。</w:t>
      </w:r>
    </w:p>
    <w:p>
      <w:pPr>
        <w:spacing w:before="120" w:after="40"/>
      </w:pPr>
      <w:r>
        <w:rPr>
          <w:b/>
          <w:sz w:val="21"/>
          <w:shd w:fill="D6E4F0" w:val="clear"/>
        </w:rPr>
        <w:t>教材原句：</w:t>
      </w:r>
    </w:p>
    <w:p>
      <w:pPr>
        <w:spacing w:line="360" w:lineRule="auto" w:after="40"/>
        <w:ind w:firstLine="420"/>
      </w:pPr>
      <w:r>
        <w:t>"A PEP is an individual in a prominent political function, or their immediate family or close associates, who could be at higher risk for involvement in bribery and corruption."</w:t>
      </w:r>
    </w:p>
    <w:p>
      <w:pPr>
        <w:spacing w:before="120" w:after="40"/>
      </w:pPr>
      <w:r>
        <w:rPr>
          <w:b/>
          <w:sz w:val="21"/>
          <w:shd w:fill="D6E4F0" w:val="clear"/>
        </w:rPr>
        <w:t>B项错误：</w:t>
      </w:r>
    </w:p>
    <w:p>
      <w:pPr>
        <w:spacing w:line="360" w:lineRule="auto" w:after="40"/>
        <w:ind w:firstLine="420"/>
      </w:pPr>
      <w:r>
        <w:t>外国PEP应被视为高风险并接受强化尽职调查</w:t>
      </w:r>
      <w:r>
        <w:rPr>
          <w:sz w:val="15"/>
          <w:vertAlign w:val="superscript"/>
        </w:rPr>
        <w:t>P137</w:t>
      </w:r>
      <w:r>
        <w:t>，而不是享有无限信贷或金融豁免。B把更严格的风险管理要求误写成特殊金融待遇。</w:t>
      </w:r>
    </w:p>
    <w:p>
      <w:pPr>
        <w:spacing w:before="120" w:after="40"/>
      </w:pPr>
      <w:r>
        <w:rPr>
          <w:b/>
          <w:sz w:val="21"/>
          <w:shd w:fill="D6E4F0" w:val="clear"/>
        </w:rPr>
        <w:t>D项错误：</w:t>
      </w:r>
    </w:p>
    <w:p>
      <w:pPr>
        <w:spacing w:line="360" w:lineRule="auto" w:after="40"/>
        <w:ind w:firstLine="420"/>
      </w:pPr>
      <w:r>
        <w:t>账户终止程序与PEP是否带来额外风险是两个问题。PEP账户并不因其身份获得免于合法关闭的特权；银行仍可根据风险承受能力、资金来源和客户活动采取控制或终止关系，因此D不能解释PEP风险为何更高。</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