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CH05 (EN)</w:t>
      </w:r>
    </w:p>
    <w:p>
      <w:pPr>
        <w:spacing w:line="360" w:lineRule="auto" w:after="160"/>
      </w:pPr>
      <w:r>
        <w:t>一、单项选择题</w:t>
      </w:r>
    </w:p>
    <w:p>
      <w:pPr>
        <w:spacing w:line="360" w:lineRule="auto" w:after="40"/>
      </w:pPr>
      <w:r>
        <w:t>1. Which of the following describes a role of the Financial Action Task Force (FATF)?</w:t>
      </w:r>
    </w:p>
    <w:p>
      <w:pPr>
        <w:spacing w:line="360" w:lineRule="auto" w:after="20"/>
        <w:ind w:firstLine="283"/>
      </w:pPr>
      <w:r>
        <w:t>A. Oversight of the Financial Intelligence Units in FATF member countries</w:t>
      </w:r>
    </w:p>
    <w:p>
      <w:pPr>
        <w:spacing w:line="360" w:lineRule="auto" w:after="20"/>
        <w:ind w:firstLine="283"/>
      </w:pPr>
      <w:r>
        <w:t>B. Providing a unique platform for information exchange regarding anti-money laundering efforts</w:t>
      </w:r>
    </w:p>
    <w:p>
      <w:pPr>
        <w:spacing w:line="360" w:lineRule="auto" w:after="20"/>
        <w:ind w:firstLine="283"/>
      </w:pPr>
      <w:r>
        <w:t>C. Regulation of financial markets through directives and executive orders</w:t>
      </w:r>
    </w:p>
    <w:p>
      <w:pPr>
        <w:spacing w:line="360" w:lineRule="auto" w:after="20"/>
        <w:ind w:firstLine="283"/>
      </w:pPr>
      <w:r>
        <w:t>D. Enhancement of international cooperation to foster anti-money laundering efforts via recommendations and guidance</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FATF的核心职能是发布建议与指导以促进国际反洗钱合作</w:t>
      </w:r>
    </w:p>
    <w:p>
      <w:pPr>
        <w:spacing w:before="120" w:after="40"/>
      </w:pPr>
      <w:r>
        <w:rPr>
          <w:b/>
          <w:sz w:val="21"/>
          <w:shd w:fill="D6E4F0" w:val="clear"/>
        </w:rPr>
        <w:t>核心解析：</w:t>
      </w:r>
    </w:p>
    <w:p>
      <w:pPr>
        <w:spacing w:line="360" w:lineRule="auto" w:after="40"/>
        <w:ind w:firstLine="420"/>
      </w:pPr>
      <w:r>
        <w:t>FATF于1989年由G7成立，宗旨是</w:t>
      </w:r>
      <w:r>
        <w:rPr>
          <w:b/>
        </w:rPr>
        <w:t>协调全球打击洗钱的努力</w:t>
      </w:r>
      <w:r>
        <w:rPr>
          <w:sz w:val="15"/>
          <w:vertAlign w:val="superscript"/>
        </w:rPr>
        <w:t>P144</w:t>
      </w:r>
      <w:r>
        <w:t>。其最核心的工作方式是发布</w:t>
      </w:r>
      <w:r>
        <w:rPr>
          <w:b/>
        </w:rPr>
        <w:t>“建议”（Recommendations）</w:t>
      </w:r>
      <w:r>
        <w:t>——成立一年内即发布40项建议，为全球反洗钱提供指导和全面行动计划</w:t>
      </w:r>
      <w:r>
        <w:rPr>
          <w:sz w:val="15"/>
          <w:vertAlign w:val="superscript"/>
        </w:rPr>
        <w:t>P144</w:t>
      </w:r>
      <w:r>
        <w:t>。教材进一步指出，FATF建议是打击金融犯罪最重要的指导与协调资源之一</w:t>
      </w:r>
      <w:r>
        <w:rPr>
          <w:sz w:val="15"/>
          <w:vertAlign w:val="superscript"/>
        </w:rPr>
        <w:t>P146</w:t>
      </w:r>
      <w:r>
        <w:t>，且FATF向各辖区提供实施建议的指导和最佳实践</w:t>
      </w:r>
      <w:r>
        <w:rPr>
          <w:sz w:val="15"/>
          <w:vertAlign w:val="superscript"/>
        </w:rPr>
        <w:t>P146</w:t>
      </w:r>
      <w:r>
        <w:t>。题干问FATF的“作用”，D选项将“国际合作”“建议”“指导”“促进反洗钱”这几个要素完整地串联起来，与教材对FATF的定位高度吻合。</w:t>
      </w:r>
    </w:p>
    <w:p>
      <w:pPr>
        <w:spacing w:before="120" w:after="40"/>
      </w:pPr>
      <w:r>
        <w:rPr>
          <w:b/>
          <w:sz w:val="21"/>
          <w:shd w:fill="D6E4F0" w:val="clear"/>
        </w:rPr>
        <w:t>教材原句：</w:t>
      </w:r>
    </w:p>
    <w:p>
      <w:pPr>
        <w:spacing w:line="360" w:lineRule="auto" w:after="40"/>
        <w:ind w:firstLine="420"/>
      </w:pPr>
      <w:r>
        <w:t>"Within a year of its founding, FATF issued its original 40 Recommendations setting forth guidance and a comprehensive action plan for fighting money laundering worldwide."</w:t>
      </w:r>
    </w:p>
    <w:p>
      <w:pPr>
        <w:spacing w:before="120" w:after="40"/>
      </w:pPr>
      <w:r>
        <w:rPr>
          <w:b/>
          <w:sz w:val="21"/>
          <w:shd w:fill="D6E4F0" w:val="clear"/>
        </w:rPr>
        <w:t>A项错误：</w:t>
      </w:r>
    </w:p>
    <w:p>
      <w:pPr>
        <w:spacing w:line="360" w:lineRule="auto" w:after="40"/>
        <w:ind w:firstLine="420"/>
      </w:pPr>
      <w:r>
        <w:t>FATF标准确实要求FIU之间相互传播金融情报</w:t>
      </w:r>
      <w:r>
        <w:rPr>
          <w:sz w:val="15"/>
          <w:vertAlign w:val="superscript"/>
        </w:rPr>
        <w:t>P231</w:t>
      </w:r>
      <w:r>
        <w:t>，但FATF本身并不对成员国的FIU进行监督。对FIU的监督属于国家层面的监管安排（如香港的联合财富情报组受本地监管框架约束）P199，并非FATF的直接职能。</w:t>
      </w:r>
    </w:p>
    <w:p>
      <w:pPr>
        <w:spacing w:before="120" w:after="40"/>
      </w:pPr>
      <w:r>
        <w:rPr>
          <w:b/>
          <w:sz w:val="21"/>
          <w:shd w:fill="D6E4F0" w:val="clear"/>
        </w:rPr>
        <w:t>B项错误：</w:t>
      </w:r>
    </w:p>
    <w:p>
      <w:pPr>
        <w:spacing w:line="360" w:lineRule="auto" w:after="40"/>
        <w:ind w:firstLine="420"/>
      </w:pPr>
      <w:r>
        <w:t>“信息交流”确实是FATF国际合作框架中的手段之一，教材也提到了信息交换P149；但题干问的是FATF的整体“作用”，D选项中的“通过建议和指导促进国际合作”更完整地覆盖了FATF作为标准制定者的核心定位。B将FATF描述为“信息交流平台”，窄化了其通过发布40项建议提供全局性指导的根本职能。</w:t>
      </w:r>
    </w:p>
    <w:p>
      <w:pPr>
        <w:spacing w:before="120" w:after="40"/>
      </w:pPr>
      <w:r>
        <w:rPr>
          <w:b/>
          <w:sz w:val="21"/>
          <w:shd w:fill="D6E4F0" w:val="clear"/>
        </w:rPr>
        <w:t>C项错误：</w:t>
      </w:r>
    </w:p>
    <w:p>
      <w:pPr>
        <w:spacing w:line="360" w:lineRule="auto" w:after="40"/>
        <w:ind w:firstLine="420"/>
      </w:pPr>
      <w:r>
        <w:t>“指令”（directives）是欧盟使用的立法工具</w:t>
      </w:r>
      <w:r>
        <w:rPr>
          <w:sz w:val="15"/>
          <w:vertAlign w:val="superscript"/>
        </w:rPr>
        <w:t>P189</w:t>
      </w:r>
      <w:r>
        <w:t>，FATF发布的是“建议”（Recommendations），由各成员国自行以法律或法规形式落地实施</w:t>
      </w:r>
      <w:r>
        <w:rPr>
          <w:sz w:val="15"/>
          <w:vertAlign w:val="superscript"/>
        </w:rPr>
        <w:t>P146</w:t>
      </w:r>
      <w:r>
        <w:t>。FATF不具备发布行政命令的权力，其性质是政府间标准制定机构，而非对金融市场进行直接监管的机关。</w:t>
      </w:r>
    </w:p>
    <w:p>
      <w:pPr>
        <w:spacing w:before="120" w:after="40"/>
      </w:pPr>
      <w:r>
        <w:rPr>
          <w:b/>
          <w:sz w:val="21"/>
          <w:shd w:fill="D6E4F0" w:val="clear"/>
        </w:rPr>
        <w:t>易错提醒：</w:t>
      </w:r>
    </w:p>
    <w:p>
      <w:pPr>
        <w:spacing w:line="360" w:lineRule="auto" w:after="40"/>
        <w:ind w:firstLine="420"/>
      </w:pPr>
      <w:r>
        <w:t>FATF的“Recommendations”与欧盟的“Directives”是不同层级的工具：FATF发布的是国际标准性质的“建议”，不具有直接法律约束力，需成员国自行转化为国内法</w:t>
      </w:r>
      <w:r>
        <w:rPr>
          <w:sz w:val="15"/>
          <w:vertAlign w:val="superscript"/>
        </w:rPr>
        <w:t>P146</w:t>
      </w:r>
      <w:r>
        <w:t>；而欧盟“指令”是立法行为，设定原则和目标后要求成员国限期转化</w:t>
      </w:r>
      <w:r>
        <w:rPr>
          <w:sz w:val="15"/>
          <w:vertAlign w:val="superscript"/>
        </w:rPr>
        <w:t>P189</w:t>
      </w:r>
      <w:r>
        <w:t>。两者常因中英文翻译相似而被混淆。</w:t>
      </w:r>
    </w:p>
    <w:p>
      <w:pPr>
        <w:spacing w:line="360" w:lineRule="auto" w:after="120"/>
      </w:pPr>
      <w:r/>
    </w:p>
    <w:p>
      <w:pPr>
        <w:spacing w:line="360" w:lineRule="auto" w:after="40"/>
      </w:pPr>
      <w:r>
        <w:t>2. The Financial Action Task Force (FATF) routinely publishes a catalogue of jurisdictions requiring enhanced monitoring, which is commonly called the:</w:t>
      </w:r>
    </w:p>
    <w:p>
      <w:pPr>
        <w:spacing w:line="360" w:lineRule="auto" w:after="20"/>
        <w:ind w:firstLine="283"/>
      </w:pPr>
      <w:r>
        <w:t>A. Red notice</w:t>
      </w:r>
    </w:p>
    <w:p>
      <w:pPr>
        <w:spacing w:line="360" w:lineRule="auto" w:after="20"/>
        <w:ind w:firstLine="283"/>
      </w:pPr>
      <w:r>
        <w:t>B. Whitelist</w:t>
      </w:r>
    </w:p>
    <w:p>
      <w:pPr>
        <w:spacing w:line="360" w:lineRule="auto" w:after="20"/>
        <w:ind w:firstLine="283"/>
      </w:pPr>
      <w:r>
        <w:t>C. Yellow notice</w:t>
      </w:r>
    </w:p>
    <w:p>
      <w:pPr>
        <w:spacing w:line="360" w:lineRule="auto" w:after="20"/>
        <w:ind w:firstLine="283"/>
      </w:pPr>
      <w:r>
        <w:t>D. Gray list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FATF对司法管辖区名单的分类及术语称谓</w:t>
      </w:r>
    </w:p>
    <w:p>
      <w:pPr>
        <w:spacing w:before="120" w:after="40"/>
      </w:pPr>
      <w:r>
        <w:rPr>
          <w:b/>
          <w:sz w:val="21"/>
          <w:shd w:fill="D6E4F0" w:val="clear"/>
        </w:rPr>
        <w:t>核心解析：</w:t>
      </w:r>
    </w:p>
    <w:p>
      <w:pPr>
        <w:spacing w:line="360" w:lineRule="auto" w:after="40"/>
        <w:ind w:firstLine="420"/>
      </w:pPr>
      <w:r>
        <w:t>FATF发布两类受关注司法管辖区名单：一类是</w:t>
      </w:r>
      <w:r>
        <w:rPr>
          <w:b/>
        </w:rPr>
        <w:t>“需要加强监测的司法管辖区”</w:t>
      </w:r>
      <w:r>
        <w:t>，通常称为灰名单（grey list）P144；另一类是存在重大缺陷、需要采取行动的高风险司法管辖区，通常称为黑名单（black list）P156。题干所说的“需要加强监测的司法管辖区目录”直接对应</w:t>
      </w:r>
      <w:r>
        <w:rPr>
          <w:b/>
        </w:rPr>
        <w:t>灰名单</w:t>
      </w:r>
      <w:r>
        <w:t>，因此D项正确。列入灰名单表示该司法管辖区存在战略性缺陷并接受FATF加强监测，</w:t>
      </w:r>
      <w:r>
        <w:rPr>
          <w:b/>
        </w:rPr>
        <w:t>不等同于受到制裁</w:t>
      </w:r>
      <w:r>
        <w:t>。</w:t>
      </w:r>
    </w:p>
    <w:p>
      <w:pPr>
        <w:spacing w:before="120" w:after="40"/>
      </w:pPr>
      <w:r>
        <w:rPr>
          <w:b/>
          <w:sz w:val="21"/>
          <w:shd w:fill="D6E4F0" w:val="clear"/>
        </w:rPr>
        <w:t>A项错误：</w:t>
      </w:r>
    </w:p>
    <w:p>
      <w:pPr>
        <w:spacing w:line="360" w:lineRule="auto" w:after="40"/>
        <w:ind w:firstLine="420"/>
      </w:pPr>
      <w:r>
        <w:t>红色通缉令（Red Notice）是国际刑警组织（INTERPOL）请求全球执法机构定位和临时拘捕相关人员的通报，不是FATF对司法管辖区进行分类的名单。</w:t>
      </w:r>
    </w:p>
    <w:p>
      <w:pPr>
        <w:spacing w:before="120" w:after="40"/>
      </w:pPr>
      <w:r>
        <w:rPr>
          <w:b/>
          <w:sz w:val="21"/>
          <w:shd w:fill="D6E4F0" w:val="clear"/>
        </w:rPr>
        <w:t>B项错误：</w:t>
      </w:r>
    </w:p>
    <w:p>
      <w:pPr>
        <w:spacing w:line="360" w:lineRule="auto" w:after="40"/>
        <w:ind w:firstLine="420"/>
      </w:pPr>
      <w:r>
        <w:t>白名单（Whitelist）在教材中指金融机构内部维护的客户名称列表，目的是在特定情况下不触发预警以减少误报</w:t>
      </w:r>
      <w:r>
        <w:rPr>
          <w:sz w:val="15"/>
          <w:vertAlign w:val="superscript"/>
        </w:rPr>
        <w:t>P422</w:t>
      </w:r>
      <w:r>
        <w:t>。其主体是机构内部客户数据，并非FATF对司法管辖区的分类，与题干场景不匹配。</w:t>
      </w:r>
    </w:p>
    <w:p>
      <w:pPr>
        <w:spacing w:before="120" w:after="40"/>
      </w:pPr>
      <w:r>
        <w:rPr>
          <w:b/>
          <w:sz w:val="21"/>
          <w:shd w:fill="D6E4F0" w:val="clear"/>
        </w:rPr>
        <w:t>C项错误：</w:t>
      </w:r>
    </w:p>
    <w:p>
      <w:pPr>
        <w:spacing w:line="360" w:lineRule="auto" w:after="40"/>
        <w:ind w:firstLine="420"/>
      </w:pPr>
      <w:r>
        <w:t>黄色通报（Yellow Notice）也是国际刑警组织的通报类型，主要用于寻找失踪人员或识别无法确认身份的人员，不是FATF的司法管辖区名单。</w:t>
      </w:r>
    </w:p>
    <w:p>
      <w:pPr>
        <w:spacing w:before="120" w:after="40"/>
      </w:pPr>
      <w:r>
        <w:rPr>
          <w:b/>
          <w:sz w:val="21"/>
          <w:shd w:fill="D6E4F0" w:val="clear"/>
        </w:rPr>
        <w:t>易错提醒：</w:t>
      </w:r>
    </w:p>
    <w:p>
      <w:pPr>
        <w:spacing w:line="360" w:lineRule="auto" w:after="40"/>
        <w:ind w:firstLine="420"/>
      </w:pPr>
      <w:r>
        <w:t>注意区分两种“grey list”：题目考的是FATF发布的司法管辖区灰名单</w:t>
      </w:r>
      <w:r>
        <w:rPr>
          <w:sz w:val="15"/>
          <w:vertAlign w:val="superscript"/>
        </w:rPr>
        <w:t>P144</w:t>
      </w:r>
      <w:r>
        <w:t>；教材另有一处提到金融机构内部维护的“private lists or grey lists”</w:t>
      </w:r>
      <w:r>
        <w:rPr>
          <w:sz w:val="15"/>
          <w:vertAlign w:val="superscript"/>
        </w:rPr>
        <w:t>P422</w:t>
      </w:r>
      <w:r>
        <w:t>，后者是机构自用的风险名单。应根据题干主语是FATF还是金融机构进行判断。</w:t>
      </w:r>
    </w:p>
    <w:p>
      <w:pPr>
        <w:spacing w:line="360" w:lineRule="auto" w:after="120"/>
      </w:pPr>
      <w:r/>
    </w:p>
    <w:p>
      <w:pPr>
        <w:spacing w:line="360" w:lineRule="auto" w:after="40"/>
      </w:pPr>
      <w:r>
        <w:t>3. A multinational financial institution (FI) detected suspicious transactions involving shell companies across the United States, Germany, and Singapore, which appeared to be part of a money laundering scheme. The Financial Intelligence Unit (FIU) in Germany initiated a joint investigation with the U.S. Financial Crimes Enforcement Network (FinCEN) and the Singapore FIU. The investigation faced challenges due to differing legal frameworks, data privacy laws, and procedural requirements. Which approach would best enhance cooperation between regulatory authorities and law enforcement agencies across these jurisdictions to ensure a successful investigation?</w:t>
      </w:r>
    </w:p>
    <w:p>
      <w:pPr>
        <w:spacing w:line="360" w:lineRule="auto" w:after="20"/>
        <w:ind w:firstLine="283"/>
      </w:pPr>
      <w:r>
        <w:t>A. Relying on each jurisdiction's existing legal frameworks and informal communication channels</w:t>
      </w:r>
    </w:p>
    <w:p>
      <w:pPr>
        <w:spacing w:line="360" w:lineRule="auto" w:after="20"/>
        <w:ind w:firstLine="283"/>
      </w:pPr>
      <w:r>
        <w:t>B. Engaging a third-party consulting firm to act as an intermediary between regulators and law enforcement agencies in different jurisdictions</w:t>
      </w:r>
    </w:p>
    <w:p>
      <w:pPr>
        <w:spacing w:line="360" w:lineRule="auto" w:after="20"/>
        <w:ind w:firstLine="283"/>
      </w:pPr>
      <w:r>
        <w:t>C. Concentrating the investigation in the jurisdiction with the strictest AML laws to simplify the process and reduce multi-jurisdictional coordination complexity</w:t>
      </w:r>
    </w:p>
    <w:p>
      <w:pPr>
        <w:spacing w:line="360" w:lineRule="auto" w:after="20"/>
        <w:ind w:firstLine="283"/>
      </w:pPr>
      <w:r>
        <w:t>D. Using existing and emerging multilateral cooperation frameworks with recognized expertise in international financial crime investigations to facilitate cross-border cooperation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跨国洗钱调查中国际合作的最有效方式</w:t>
      </w:r>
    </w:p>
    <w:p>
      <w:pPr>
        <w:spacing w:before="120" w:after="40"/>
      </w:pPr>
      <w:r>
        <w:rPr>
          <w:b/>
          <w:sz w:val="21"/>
          <w:shd w:fill="D6E4F0" w:val="clear"/>
        </w:rPr>
        <w:t>核心解析：</w:t>
      </w:r>
    </w:p>
    <w:p>
      <w:pPr>
        <w:spacing w:line="360" w:lineRule="auto" w:after="40"/>
        <w:ind w:firstLine="420"/>
      </w:pPr>
      <w:r>
        <w:t>金融犯罪具有跨境属性，单一国家无法独立完成跨司法管辖区的调查。FATF建议要求当局通过</w:t>
      </w:r>
      <w:r>
        <w:rPr>
          <w:b/>
        </w:rPr>
        <w:t>信息交换和联合调查</w:t>
      </w:r>
      <w:r>
        <w:t>促进国际合作以打击全球金融犯罪</w:t>
      </w:r>
      <w:r>
        <w:rPr>
          <w:sz w:val="15"/>
          <w:vertAlign w:val="superscript"/>
        </w:rPr>
        <w:t>P149</w:t>
      </w:r>
      <w:r>
        <w:t>。埃格蒙特集团作为各国金融情报机构的国际网络，其核心职能即包括促进金融情报机构、执法机构与国际组织之间的协作</w:t>
      </w:r>
      <w:r>
        <w:rPr>
          <w:sz w:val="15"/>
          <w:vertAlign w:val="superscript"/>
        </w:rPr>
        <w:t>P167</w:t>
      </w:r>
      <w:r>
        <w:t>。题干中，案件涉及美国、德国、新加坡三地的空壳公司和交易，直接面对各国法律框架和数据隐私法差异带来的挑战。在此情境下，最有效的应对并非依赖各自为政的国内法或非正式沟通，而是借助已有国际协议和</w:t>
      </w:r>
      <w:r>
        <w:rPr>
          <w:b/>
        </w:rPr>
        <w:t>制度化的多边合作平台</w:t>
      </w:r>
      <w:r>
        <w:t>。选项D所指的“具备公认专业知识的现有和新兴多边合作框架”，如FATF、埃格蒙特集团、Europol等，正是专门为解决此类跨境协调障碍而设立，能够提供标准化的信息共享渠道和联合调查机制，直接回应题干的核心矛盾。相比之下，依靠各辖区现有法律框架（A）正是调查面临挑战的根源，聘请第三方公司（B）无法获得政府间敏感的执法情报，集中调查于法律最严国（C）则忽略了洗钱活动分布在多国的事实，其他国家的证据和资产将无法触及。由此可推断，D是最直接匹配题干场景的解决方案。</w:t>
      </w:r>
    </w:p>
    <w:p>
      <w:pPr>
        <w:spacing w:before="120" w:after="40"/>
      </w:pPr>
      <w:r>
        <w:rPr>
          <w:b/>
          <w:sz w:val="21"/>
          <w:shd w:fill="D6E4F0" w:val="clear"/>
        </w:rPr>
        <w:t>教材原句：</w:t>
      </w:r>
    </w:p>
    <w:p>
      <w:pPr>
        <w:spacing w:line="360" w:lineRule="auto" w:after="40"/>
        <w:ind w:firstLine="420"/>
      </w:pPr>
      <w:r>
        <w:t>"Authorities should facilitate international cooperation through information exchange and joint investigations to combat financial crimes effectively on a global scale."</w:t>
      </w:r>
    </w:p>
    <w:p>
      <w:pPr>
        <w:spacing w:before="120" w:after="40"/>
      </w:pPr>
      <w:r>
        <w:rPr>
          <w:b/>
          <w:sz w:val="21"/>
          <w:shd w:fill="D6E4F0" w:val="clear"/>
        </w:rPr>
        <w:t>A项错误：</w:t>
      </w:r>
    </w:p>
    <w:p>
      <w:pPr>
        <w:spacing w:line="360" w:lineRule="auto" w:after="40"/>
        <w:ind w:firstLine="420"/>
      </w:pPr>
      <w:r>
        <w:t>题干指出调查面临的挑战正来源于“各国法律框架和程序要求各不相同”，选项A主张依赖现有框架和非正式沟通，这恰恰是问题的根源而非解决方案。教材指出不明确或限制性的法律以及缺乏明确的沟通渠道会阻碍合作</w:t>
      </w:r>
      <w:r>
        <w:rPr>
          <w:sz w:val="15"/>
          <w:vertAlign w:val="superscript"/>
        </w:rPr>
        <w:t>P235</w:t>
      </w:r>
      <w:r>
        <w:t>，题干条件更支持建立正式的多边机制而非继续沿用现有安排。</w:t>
      </w:r>
    </w:p>
    <w:p>
      <w:pPr>
        <w:spacing w:before="120" w:after="40"/>
      </w:pPr>
      <w:r>
        <w:rPr>
          <w:b/>
          <w:sz w:val="21"/>
          <w:shd w:fill="D6E4F0" w:val="clear"/>
        </w:rPr>
        <w:t>B项错误：</w:t>
      </w:r>
    </w:p>
    <w:p>
      <w:pPr>
        <w:spacing w:line="360" w:lineRule="auto" w:after="40"/>
        <w:ind w:firstLine="420"/>
      </w:pPr>
      <w:r>
        <w:t>跨国金融犯罪调查涉及执法情报和证据的跨境传递，需要依托政府间的正式合作框架。第三方咨询公司不具有执法或司法协助权限，不能替代多边合作机制。</w:t>
      </w:r>
    </w:p>
    <w:p>
      <w:pPr>
        <w:spacing w:before="120" w:after="40"/>
      </w:pPr>
      <w:r>
        <w:rPr>
          <w:b/>
          <w:sz w:val="21"/>
          <w:shd w:fill="D6E4F0" w:val="clear"/>
        </w:rPr>
        <w:t>C项错误：</w:t>
      </w:r>
    </w:p>
    <w:p>
      <w:pPr>
        <w:spacing w:line="360" w:lineRule="auto" w:after="40"/>
        <w:ind w:firstLine="420"/>
      </w:pPr>
      <w:r>
        <w:t>洗钱活动利用多国金融系统进行分层和转移，将调查集中于单一司法管辖区将遗漏分布在其他国家的关键证据和资产。教材案例显示，跨境调查需要多国协调行动（如八国联合搜查与资产扣押）P232，而合规专业人士必须协调多个司法管辖区的法律差异</w:t>
      </w:r>
      <w:r>
        <w:rPr>
          <w:sz w:val="15"/>
          <w:vertAlign w:val="superscript"/>
        </w:rPr>
        <w:t>P21</w:t>
      </w:r>
      <w:r>
        <w:t>，集中于一国与这一基本原则相悖。</w:t>
      </w:r>
    </w:p>
    <w:p>
      <w:pPr>
        <w:spacing w:before="120" w:after="40"/>
      </w:pPr>
      <w:r>
        <w:rPr>
          <w:b/>
          <w:sz w:val="21"/>
          <w:shd w:fill="D6E4F0" w:val="clear"/>
        </w:rPr>
        <w:t>易错提醒：</w:t>
      </w:r>
    </w:p>
    <w:p>
      <w:pPr>
        <w:spacing w:line="360" w:lineRule="auto" w:after="40"/>
        <w:ind w:firstLine="420"/>
      </w:pPr>
      <w:r>
        <w:t>区分“非正式合作”与“制度化多边框架”：非正式沟通渠道依赖个人关系和临时安排，缺乏法律保障和信息安全标准；而多边合作框架（如FATF建议、埃格蒙特集团、司法协助条约）提供了明确的法律依据、标准化的信息共享机制和联合调查程序，是应对跨境法律差异的专门工具。</w:t>
      </w:r>
    </w:p>
    <w:p>
      <w:pPr>
        <w:spacing w:line="360" w:lineRule="auto" w:after="120"/>
      </w:pPr>
      <w:r/>
    </w:p>
    <w:p>
      <w:pPr>
        <w:spacing w:line="360" w:lineRule="auto" w:after="40"/>
      </w:pPr>
      <w:r>
        <w:t>4. A Financial Intelligence Unit (FIU) serves as a national center for the receipt and analysis of suspicious activity reports (SARs) and can obtain additional information from other reporting entities relevant to:</w:t>
      </w:r>
    </w:p>
    <w:p>
      <w:pPr>
        <w:spacing w:line="360" w:lineRule="auto" w:after="20"/>
        <w:ind w:firstLine="283"/>
      </w:pPr>
      <w:r>
        <w:t>A. Public administration</w:t>
      </w:r>
    </w:p>
    <w:p>
      <w:pPr>
        <w:spacing w:line="360" w:lineRule="auto" w:after="20"/>
        <w:ind w:firstLine="283"/>
      </w:pPr>
      <w:r>
        <w:t>B. Legal assessment</w:t>
      </w:r>
    </w:p>
    <w:p>
      <w:pPr>
        <w:spacing w:line="360" w:lineRule="auto" w:after="20"/>
        <w:ind w:firstLine="283"/>
      </w:pPr>
      <w:r>
        <w:t>C. Law enforcement</w:t>
      </w:r>
    </w:p>
    <w:p>
      <w:pPr>
        <w:spacing w:line="360" w:lineRule="auto" w:after="20"/>
        <w:ind w:firstLine="283"/>
      </w:pPr>
      <w:r>
        <w:t>D. Legal activity</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金融情报机构（FIU）的核心职能是支持执法调查</w:t>
      </w:r>
    </w:p>
    <w:p>
      <w:pPr>
        <w:spacing w:before="120" w:after="40"/>
      </w:pPr>
      <w:r>
        <w:rPr>
          <w:b/>
          <w:sz w:val="21"/>
          <w:shd w:fill="D6E4F0" w:val="clear"/>
        </w:rPr>
        <w:t>核心解析：</w:t>
      </w:r>
    </w:p>
    <w:p>
      <w:pPr>
        <w:spacing w:line="360" w:lineRule="auto" w:after="40"/>
        <w:ind w:firstLine="420"/>
      </w:pPr>
      <w:r>
        <w:t>FATF建议规定，“各辖区应设立金融情报机构以分析可疑交易报告并支持执法调查”</w:t>
      </w:r>
      <w:r>
        <w:rPr>
          <w:sz w:val="15"/>
          <w:vertAlign w:val="superscript"/>
        </w:rPr>
        <w:t>P149</w:t>
      </w:r>
      <w:r>
        <w:t>。教材还指出，可疑活动报告（SAR）的主要目标，是为执法部门提供关于涉嫌洗钱、恐怖融资及其他犯罪的</w:t>
      </w:r>
      <w:r>
        <w:rPr>
          <w:b/>
        </w:rPr>
        <w:t>可操作情报</w:t>
      </w:r>
      <w:r>
        <w:rPr>
          <w:sz w:val="15"/>
          <w:vertAlign w:val="superscript"/>
        </w:rPr>
        <w:t>P359</w:t>
      </w:r>
      <w:r>
        <w:t>。因此，FIU接收和分析SAR，并从其他报告实体获取补充信息，本质上是为了形成</w:t>
      </w:r>
      <w:r>
        <w:rPr>
          <w:b/>
        </w:rPr>
        <w:t>可供执法使用的金融情报</w:t>
      </w:r>
      <w:r>
        <w:t>。</w:t>
      </w:r>
    </w:p>
    <w:p>
      <w:pPr>
        <w:spacing w:line="360" w:lineRule="auto" w:after="40"/>
        <w:ind w:firstLine="420"/>
      </w:pPr>
      <w:r>
        <w:t>题干中的“可从其他报告实体获取更多信息”也有教材依据：金融机构通常需要回应FIU和执法部门关于交易和账户所有权的更多信息请求</w:t>
      </w:r>
      <w:r>
        <w:rPr>
          <w:sz w:val="15"/>
          <w:vertAlign w:val="superscript"/>
        </w:rPr>
        <w:t>P362</w:t>
      </w:r>
      <w:r>
        <w:t>。这些补充信息与FIU分析SAR、支持执法调查的职能相衔接，最直接对应选项C“执法部门”。A项公共行政、B项法律评估、D项合法活动都不是FIU处理SAR和调取补充信息的核心目的。</w:t>
      </w:r>
    </w:p>
    <w:p>
      <w:pPr>
        <w:spacing w:before="120" w:after="40"/>
      </w:pPr>
      <w:r>
        <w:rPr>
          <w:b/>
          <w:sz w:val="21"/>
          <w:shd w:fill="D6E4F0" w:val="clear"/>
        </w:rPr>
        <w:t>教材原句：</w:t>
      </w:r>
    </w:p>
    <w:p>
      <w:pPr>
        <w:spacing w:line="360" w:lineRule="auto" w:after="40"/>
        <w:ind w:firstLine="420"/>
      </w:pPr>
      <w:r>
        <w:t>"Jurisdictions should establish an FIU to analyze suspicious transaction reports and support law enforcement investigations."</w:t>
      </w:r>
    </w:p>
    <w:p>
      <w:pPr>
        <w:spacing w:before="120" w:after="40"/>
      </w:pPr>
      <w:r>
        <w:rPr>
          <w:b/>
          <w:sz w:val="21"/>
          <w:shd w:fill="D6E4F0" w:val="clear"/>
        </w:rPr>
        <w:t>A项错误：</w:t>
      </w:r>
    </w:p>
    <w:p>
      <w:pPr>
        <w:spacing w:line="360" w:lineRule="auto" w:after="40"/>
        <w:ind w:firstLine="420"/>
      </w:pPr>
      <w:r>
        <w:t>“公共行政”在教材中出现在巴塞尔治理研究所的职能描述中，如提供公共财政管理技术援助</w:t>
      </w:r>
      <w:r>
        <w:rPr>
          <w:sz w:val="15"/>
          <w:vertAlign w:val="superscript"/>
        </w:rPr>
        <w:t>P174</w:t>
      </w:r>
      <w:r>
        <w:t>，但这属于治理与反腐败领域，与FIU接收和分析SAR、获取补充信息的职能无直接对应关系。题干更直接匹配执法而非行政层面。</w:t>
      </w:r>
    </w:p>
    <w:p>
      <w:pPr>
        <w:spacing w:before="120" w:after="40"/>
      </w:pPr>
      <w:r>
        <w:rPr>
          <w:b/>
          <w:sz w:val="21"/>
          <w:shd w:fill="D6E4F0" w:val="clear"/>
        </w:rPr>
        <w:t>B项错误：</w:t>
      </w:r>
    </w:p>
    <w:p>
      <w:pPr>
        <w:spacing w:line="360" w:lineRule="auto" w:after="40"/>
        <w:ind w:firstLine="420"/>
      </w:pPr>
      <w:r>
        <w:t>教材提到巴塞尔AML指数评估法律与政治风险</w:t>
      </w:r>
      <w:r>
        <w:rPr>
          <w:sz w:val="15"/>
          <w:vertAlign w:val="superscript"/>
        </w:rPr>
        <w:t>P175</w:t>
      </w:r>
      <w:r>
        <w:t>，但那是国家洗钱风险评估指标的一部分，并非FIU向其他报告实体获取信息的用途。FIU调取信息是为了推进调查，而非停留在“法律评估”环节。</w:t>
      </w:r>
    </w:p>
    <w:p>
      <w:pPr>
        <w:spacing w:before="120" w:after="40"/>
      </w:pPr>
      <w:r>
        <w:rPr>
          <w:b/>
          <w:sz w:val="21"/>
          <w:shd w:fill="D6E4F0" w:val="clear"/>
        </w:rPr>
        <w:t>D项错误：</w:t>
      </w:r>
    </w:p>
    <w:p>
      <w:pPr>
        <w:spacing w:line="360" w:lineRule="auto" w:after="40"/>
        <w:ind w:firstLine="420"/>
      </w:pPr>
      <w:r>
        <w:t>FIU接收和分析的是“可疑活动”报告，整个机制针对的是潜在的非法行为，从逻辑上就不可能是为了获取关于“合法活动”的补充信息。题干条件与该项不匹配。</w:t>
      </w:r>
    </w:p>
    <w:p>
      <w:pPr>
        <w:spacing w:before="120" w:after="40"/>
      </w:pPr>
      <w:r>
        <w:rPr>
          <w:b/>
          <w:sz w:val="21"/>
          <w:shd w:fill="D6E4F0" w:val="clear"/>
        </w:rPr>
        <w:t>易错提醒：</w:t>
      </w:r>
    </w:p>
    <w:p>
      <w:pPr>
        <w:spacing w:line="360" w:lineRule="auto" w:after="40"/>
        <w:ind w:firstLine="420"/>
      </w:pPr>
      <w:r>
        <w:t>FIU支持的是“执法”调查（law enforcement），不是“法律评估”（legal assessment）。执法是行动层面的犯罪调查与起诉，法律评估是合规层面的框架质量分析。前者是FIU的直接使命，后者是巴塞尔指数等评估工具的功能。</w:t>
      </w:r>
    </w:p>
    <w:p>
      <w:pPr>
        <w:spacing w:line="360" w:lineRule="auto" w:after="120"/>
      </w:pPr>
      <w:r/>
    </w:p>
    <w:p>
      <w:pPr>
        <w:spacing w:line="360" w:lineRule="auto" w:after="40"/>
      </w:pPr>
      <w:r>
        <w:t>5. During which process must a country demonstrate to the Financial Action Task Force (FATF) that it has an effective framework to protect the financial system from abuse?</w:t>
      </w:r>
    </w:p>
    <w:p>
      <w:pPr>
        <w:spacing w:line="360" w:lineRule="auto" w:after="20"/>
        <w:ind w:firstLine="283"/>
      </w:pPr>
      <w:r>
        <w:t>A. Formal assessment</w:t>
      </w:r>
    </w:p>
    <w:p>
      <w:pPr>
        <w:spacing w:line="360" w:lineRule="auto" w:after="20"/>
        <w:ind w:firstLine="283"/>
      </w:pPr>
      <w:r>
        <w:t>B. Regulatory overview</w:t>
      </w:r>
    </w:p>
    <w:p>
      <w:pPr>
        <w:spacing w:line="360" w:lineRule="auto" w:after="20"/>
        <w:ind w:firstLine="283"/>
      </w:pPr>
      <w:r>
        <w:t>C. Technical analysis</w:t>
      </w:r>
    </w:p>
    <w:p>
      <w:pPr>
        <w:spacing w:line="360" w:lineRule="auto" w:after="20"/>
        <w:ind w:firstLine="283"/>
      </w:pPr>
      <w:r>
        <w:t>D. Mutual evaluation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FATF互评估（Mutual Evaluation）的核心定义与证明义务</w:t>
      </w:r>
    </w:p>
    <w:p>
      <w:pPr>
        <w:spacing w:before="120" w:after="40"/>
      </w:pPr>
      <w:r>
        <w:rPr>
          <w:b/>
          <w:sz w:val="21"/>
          <w:shd w:fill="D6E4F0" w:val="clear"/>
        </w:rPr>
        <w:t>核心解析：</w:t>
      </w:r>
    </w:p>
    <w:p>
      <w:pPr>
        <w:spacing w:line="360" w:lineRule="auto" w:after="40"/>
        <w:ind w:firstLine="420"/>
      </w:pPr>
      <w:r>
        <w:t>题目问的是FATF体系下，一个国家必须“向FATF证明”其拥有有效框架的程序。教材定义：FATF互评估（Mutual Evaluation）是成员国之间的</w:t>
      </w:r>
      <w:r>
        <w:rPr>
          <w:b/>
        </w:rPr>
        <w:t>同行评审</w:t>
      </w:r>
      <w:r>
        <w:t>，评估报告深入分析一国防止金融系统被滥用的法律与监管框架</w:t>
      </w:r>
      <w:r>
        <w:rPr>
          <w:sz w:val="15"/>
          <w:vertAlign w:val="superscript"/>
        </w:rPr>
        <w:t>P153</w:t>
      </w:r>
      <w:r>
        <w:t>。关键点在于“证明”——互评估要求严格，“每个司法管辖区只有在能向其他FATF成员证明其合规时，才被视为合规”</w:t>
      </w:r>
      <w:r>
        <w:rPr>
          <w:sz w:val="15"/>
          <w:vertAlign w:val="superscript"/>
        </w:rPr>
        <w:t>P153</w:t>
      </w:r>
      <w:r>
        <w:t>。也就是说，互评估的本质就是一个国家向FATF展示和证明其反洗钱/反恐怖融资框架有效性的</w:t>
      </w:r>
      <w:r>
        <w:rPr>
          <w:b/>
        </w:rPr>
        <w:t>正式过程</w:t>
      </w:r>
      <w:r>
        <w:t>。题干中的“demonstrate to FATF”（向FATF证明）与证据中的“prove the same to other FATF members”直接对应，因此相互评估是唯一匹配的程序。</w:t>
      </w:r>
    </w:p>
    <w:p>
      <w:pPr>
        <w:spacing w:before="120" w:after="40"/>
      </w:pPr>
      <w:r>
        <w:rPr>
          <w:b/>
          <w:sz w:val="21"/>
          <w:shd w:fill="D6E4F0" w:val="clear"/>
        </w:rPr>
        <w:t>教材原句：</w:t>
      </w:r>
    </w:p>
    <w:p>
      <w:pPr>
        <w:spacing w:line="360" w:lineRule="auto" w:after="40"/>
        <w:ind w:firstLine="420"/>
      </w:pPr>
      <w:r>
        <w:t>"Mutual evaluations are strict, meaning each jurisdiction is only deemed compliant when it can prove the same to other FATF members."</w:t>
      </w:r>
    </w:p>
    <w:p>
      <w:pPr>
        <w:spacing w:before="120" w:after="40"/>
      </w:pPr>
      <w:r>
        <w:rPr>
          <w:b/>
          <w:sz w:val="21"/>
          <w:shd w:fill="D6E4F0" w:val="clear"/>
        </w:rPr>
        <w:t>A项错误：</w:t>
      </w:r>
    </w:p>
    <w:p>
      <w:pPr>
        <w:spacing w:line="360" w:lineRule="auto" w:after="40"/>
        <w:ind w:firstLine="420"/>
      </w:pPr>
      <w:r>
        <w:t>教材在描述FATF互评估流程时，未将“正式评估（Formal assessment）”作为一个独立的、与互评估并列的程序名称。题干中要求向FATF证明框架有效性的特定程序，更匹配教材明确命名的“相互评估”。</w:t>
      </w:r>
    </w:p>
    <w:p>
      <w:pPr>
        <w:spacing w:before="120" w:after="40"/>
      </w:pPr>
      <w:r>
        <w:rPr>
          <w:b/>
          <w:sz w:val="21"/>
          <w:shd w:fill="D6E4F0" w:val="clear"/>
        </w:rPr>
        <w:t>B项错误：</w:t>
      </w:r>
    </w:p>
    <w:p>
      <w:pPr>
        <w:spacing w:line="360" w:lineRule="auto" w:after="40"/>
        <w:ind w:firstLine="420"/>
      </w:pPr>
      <w:r>
        <w:t>教材提到“监管报告与联络（Regulatory reporting and liaison）”是金融机构内部合规职能之一</w:t>
      </w:r>
      <w:r>
        <w:rPr>
          <w:sz w:val="15"/>
          <w:vertAlign w:val="superscript"/>
        </w:rPr>
        <w:t>P254</w:t>
      </w:r>
      <w:r>
        <w:t>，而非FATF层面要求国家证明其框架有效性的程序。题干指向国家层面的国际评审机制，而非机构层面的监管行为。</w:t>
      </w:r>
    </w:p>
    <w:p>
      <w:pPr>
        <w:spacing w:before="120" w:after="40"/>
      </w:pPr>
      <w:r>
        <w:rPr>
          <w:b/>
          <w:sz w:val="21"/>
          <w:shd w:fill="D6E4F0" w:val="clear"/>
        </w:rPr>
        <w:t>C项错误：</w:t>
      </w:r>
    </w:p>
    <w:p>
      <w:pPr>
        <w:spacing w:line="360" w:lineRule="auto" w:after="40"/>
        <w:ind w:firstLine="420"/>
      </w:pPr>
      <w:r>
        <w:t>“技术合规性（technical compliance）”是互评估的两大组成部分之一，侧重检查法律法规是否到位</w:t>
      </w:r>
      <w:r>
        <w:rPr>
          <w:sz w:val="15"/>
          <w:vertAlign w:val="superscript"/>
        </w:rPr>
        <w:t>P153</w:t>
      </w:r>
      <w:r>
        <w:t>。但题干说的是“证明拥有有效框架”这一完整过程，而非仅分析法规文本的环节。技术合规性只是互评估内部的一个子项，不如互评估整体更直接匹配题干的“证明”要求。</w:t>
      </w:r>
    </w:p>
    <w:p>
      <w:pPr>
        <w:spacing w:before="120" w:after="40"/>
      </w:pPr>
      <w:r>
        <w:rPr>
          <w:b/>
          <w:sz w:val="21"/>
          <w:shd w:fill="D6E4F0" w:val="clear"/>
        </w:rPr>
        <w:t>易错提醒：</w:t>
      </w:r>
    </w:p>
    <w:p>
      <w:pPr>
        <w:spacing w:line="360" w:lineRule="auto" w:after="40"/>
        <w:ind w:firstLine="420"/>
      </w:pPr>
      <w:r>
        <w:t>互评估（Mutual Evaluation）包含“技术合规性”和“有效性”两个组成部分。只考查法律法规条文的是技术合规性，但要求国家“证明框架有效”的完整程序是互评估本身。看到选项中出现“技术”二字体现在评估过程中的某个环节，容易误选，但题干强调的是整体的证明过程而非单项分析。</w:t>
      </w:r>
    </w:p>
    <w:p>
      <w:pPr>
        <w:spacing w:line="360" w:lineRule="auto" w:after="120"/>
      </w:pPr>
      <w:r/>
    </w:p>
    <w:p>
      <w:pPr>
        <w:spacing w:line="360" w:lineRule="auto" w:after="40"/>
      </w:pPr>
      <w:r>
        <w:t>6. Which of the following statements is true regarding the 2012 Financial Action Task Force (FATF) 40 Recommendations and/or 11 Immediate Outcomes?</w:t>
      </w:r>
    </w:p>
    <w:p>
      <w:pPr>
        <w:spacing w:line="360" w:lineRule="auto" w:after="20"/>
        <w:ind w:firstLine="283"/>
      </w:pPr>
      <w:r>
        <w:t>A. The 40 Recommendations have not been updated to reflect the impact of new technology</w:t>
      </w:r>
    </w:p>
    <w:p>
      <w:pPr>
        <w:spacing w:line="360" w:lineRule="auto" w:after="20"/>
        <w:ind w:firstLine="283"/>
      </w:pPr>
      <w:r>
        <w:t>B. Each jurisdiction can reach out to the FATF for private access to the interpretive notes to the 40 Recommendations</w:t>
      </w:r>
    </w:p>
    <w:p>
      <w:pPr>
        <w:spacing w:line="360" w:lineRule="auto" w:after="20"/>
        <w:ind w:firstLine="283"/>
      </w:pPr>
      <w:r>
        <w:t>C. The 11 Immediate Outcomes are recommendations specific to high-risk jurisdictions requiring enhanced monitoring</w:t>
      </w:r>
    </w:p>
    <w:p>
      <w:pPr>
        <w:spacing w:line="360" w:lineRule="auto" w:after="20"/>
        <w:ind w:firstLine="283"/>
      </w:pPr>
      <w:r>
        <w:t>D. The cornerstone of the 40 Recommendations is the adoption of a risk-based approach by each jurisdiction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 40项建议的核心原则与11项直接成果的定位</w:t>
      </w:r>
    </w:p>
    <w:p>
      <w:pPr>
        <w:spacing w:before="120" w:after="40"/>
      </w:pPr>
      <w:r>
        <w:rPr>
          <w:b/>
          <w:sz w:val="21"/>
          <w:shd w:fill="D6E4F0" w:val="clear"/>
        </w:rPr>
        <w:t>核心解析：</w:t>
      </w:r>
    </w:p>
    <w:p>
      <w:pPr>
        <w:spacing w:line="360" w:lineRule="auto" w:after="40"/>
        <w:ind w:firstLine="420"/>
      </w:pPr>
      <w:r>
        <w:t>FATF建议1和2要求各司法管辖区评估并理解自身面临的洗钱和恐怖融资风险，并采取</w:t>
      </w:r>
      <w:r>
        <w:rPr>
          <w:b/>
        </w:rPr>
        <w:t>风险为本方法</w:t>
      </w:r>
      <w:r>
        <w:t>实施与风险程度相称的缓释措施</w:t>
      </w:r>
      <w:r>
        <w:rPr>
          <w:sz w:val="15"/>
          <w:vertAlign w:val="superscript"/>
        </w:rPr>
        <w:t>P147</w:t>
      </w:r>
      <w:r>
        <w:t>。风险为本方法位于40项建议的开端，并贯穿后续制度要求，因此D所称“40项建议的核心在于采取风险为本方法”最准确。</w:t>
      </w:r>
    </w:p>
    <w:p>
      <w:pPr>
        <w:spacing w:before="120" w:after="40"/>
      </w:pPr>
      <w:r>
        <w:rPr>
          <w:b/>
          <w:sz w:val="21"/>
          <w:shd w:fill="D6E4F0" w:val="clear"/>
        </w:rPr>
        <w:t>教材原句：</w:t>
      </w:r>
    </w:p>
    <w:p>
      <w:pPr>
        <w:spacing w:line="360" w:lineRule="auto" w:after="40"/>
        <w:ind w:firstLine="420"/>
      </w:pPr>
      <w:r>
        <w:t>"Recommendations 1 and 2 advise jurisdictions to assess and understand their money laundering and terrorist financing risks and take a risk-based approach to implementing measures that effectively mitigate these threats."</w:t>
      </w:r>
    </w:p>
    <w:p>
      <w:pPr>
        <w:spacing w:before="120" w:after="40"/>
      </w:pPr>
      <w:r>
        <w:rPr>
          <w:b/>
          <w:sz w:val="21"/>
          <w:shd w:fill="D6E4F0" w:val="clear"/>
        </w:rPr>
        <w:t>A项错误：</w:t>
      </w:r>
    </w:p>
    <w:p>
      <w:pPr>
        <w:spacing w:line="360" w:lineRule="auto" w:after="40"/>
        <w:ind w:firstLine="420"/>
      </w:pPr>
      <w:r>
        <w:t>教材在介绍FATF建议9至23时明确指出，金融机构应评估新技术带来的风险</w:t>
      </w:r>
      <w:r>
        <w:rPr>
          <w:sz w:val="15"/>
          <w:vertAlign w:val="superscript"/>
        </w:rPr>
        <w:t>P148</w:t>
      </w:r>
      <w:r>
        <w:t>。这说明FATF建议体系已经纳入新技术风险，A所称“尚未更新以反映新技术影响”不符合教材内容。</w:t>
      </w:r>
    </w:p>
    <w:p>
      <w:pPr>
        <w:spacing w:before="120" w:after="40"/>
      </w:pPr>
      <w:r>
        <w:rPr>
          <w:b/>
          <w:sz w:val="21"/>
          <w:shd w:fill="D6E4F0" w:val="clear"/>
        </w:rPr>
        <w:t>B项错误：</w:t>
      </w:r>
    </w:p>
    <w:p>
      <w:pPr>
        <w:spacing w:line="360" w:lineRule="auto" w:after="40"/>
        <w:ind w:firstLine="420"/>
      </w:pPr>
      <w:r>
        <w:t>FATF的解释性说明随40项建议文件公开发布，并非需要各司法管辖区向FATF申请才能获得的非公开资料。互评估报告的公开性与解释性说明的获取方式并非同一问题，不能据此支持B项。</w:t>
      </w:r>
    </w:p>
    <w:p>
      <w:pPr>
        <w:spacing w:before="120" w:after="40"/>
      </w:pPr>
      <w:r>
        <w:rPr>
          <w:b/>
          <w:sz w:val="21"/>
          <w:shd w:fill="D6E4F0" w:val="clear"/>
        </w:rPr>
        <w:t>C项错误：</w:t>
      </w:r>
    </w:p>
    <w:p>
      <w:pPr>
        <w:spacing w:line="360" w:lineRule="auto" w:after="40"/>
        <w:ind w:firstLine="420"/>
      </w:pPr>
      <w:r>
        <w:t>11项直接成果用于评估司法管辖区AML/CFT体系的有效性，并按照低、中等、显著和高进行评级</w:t>
      </w:r>
      <w:r>
        <w:rPr>
          <w:sz w:val="15"/>
          <w:vertAlign w:val="superscript"/>
        </w:rPr>
        <w:t>P150</w:t>
      </w:r>
      <w:r>
        <w:t>。它们是所有受评估司法管辖区通用的有效性评估框架，不是专门针对需要加强监测的高风险司法管辖区提出的建议。</w:t>
      </w:r>
    </w:p>
    <w:p>
      <w:pPr>
        <w:spacing w:before="120" w:after="40"/>
      </w:pPr>
      <w:r>
        <w:rPr>
          <w:b/>
          <w:sz w:val="21"/>
          <w:shd w:fill="D6E4F0" w:val="clear"/>
        </w:rPr>
        <w:t>易错提醒：</w:t>
      </w:r>
    </w:p>
    <w:p>
      <w:pPr>
        <w:spacing w:line="360" w:lineRule="auto" w:after="40"/>
        <w:ind w:firstLine="420"/>
      </w:pPr>
      <w:r>
        <w:t>40项建议规定各司法管辖区应建立哪些制度和控制措施，风险为本方法是其基础原则；11项直接成果则用于判断这些制度在实践中是否有效。直接成果是评估工具，不是针对灰名单或黑名单国家的整改建议。</w:t>
      </w:r>
    </w:p>
    <w:p>
      <w:pPr>
        <w:spacing w:line="360" w:lineRule="auto" w:after="120"/>
      </w:pPr>
      <w:r/>
    </w:p>
    <w:p>
      <w:pPr>
        <w:spacing w:line="360" w:lineRule="auto" w:after="40"/>
      </w:pPr>
      <w:r>
        <w:t>7. Who bears the ultimate responsibility for approving a financial institution's relationship with a politically exposed person?</w:t>
      </w:r>
    </w:p>
    <w:p>
      <w:pPr>
        <w:spacing w:line="360" w:lineRule="auto" w:after="20"/>
        <w:ind w:firstLine="283"/>
      </w:pPr>
      <w:r>
        <w:t>A. KYC analyst</w:t>
      </w:r>
    </w:p>
    <w:p>
      <w:pPr>
        <w:spacing w:line="360" w:lineRule="auto" w:after="20"/>
        <w:ind w:firstLine="283"/>
      </w:pPr>
      <w:r>
        <w:t>B. Senior management</w:t>
      </w:r>
    </w:p>
    <w:p>
      <w:pPr>
        <w:spacing w:line="360" w:lineRule="auto" w:after="20"/>
        <w:ind w:firstLine="283"/>
      </w:pPr>
      <w:r>
        <w:t>C. Relationship manager</w:t>
      </w:r>
    </w:p>
    <w:p>
      <w:pPr>
        <w:spacing w:line="360" w:lineRule="auto" w:after="20"/>
        <w:ind w:firstLine="283"/>
      </w:pPr>
      <w:r>
        <w:t>D. Enhanced due diligence compliance officer</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PEP业务关系的审批层级及不同PEP类别的适用条件</w:t>
      </w:r>
    </w:p>
    <w:p>
      <w:pPr>
        <w:spacing w:before="120" w:after="40"/>
      </w:pPr>
      <w:r>
        <w:rPr>
          <w:b/>
          <w:sz w:val="21"/>
          <w:shd w:fill="D6E4F0" w:val="clear"/>
        </w:rPr>
        <w:t>核心解析：</w:t>
      </w:r>
    </w:p>
    <w:p>
      <w:pPr>
        <w:spacing w:line="360" w:lineRule="auto" w:after="40"/>
        <w:ind w:firstLine="420"/>
      </w:pPr>
      <w:r>
        <w:t>教材指出，金融机构在与政治敏感人物（PEP）建立业务关系时，应取得</w:t>
      </w:r>
      <w:r>
        <w:rPr>
          <w:b/>
        </w:rPr>
        <w:t>高级管理层批准</w:t>
      </w:r>
      <w:r>
        <w:rPr>
          <w:sz w:val="15"/>
          <w:vertAlign w:val="superscript"/>
        </w:rPr>
        <w:t>P148</w:t>
      </w:r>
      <w:r>
        <w:t>；在高风险客户准入控制中，教材也将高级管理层批准列为账户激活前可采用的措施</w:t>
      </w:r>
      <w:r>
        <w:rPr>
          <w:sz w:val="15"/>
          <w:vertAlign w:val="superscript"/>
        </w:rPr>
        <w:t>P312</w:t>
      </w:r>
      <w:r>
        <w:t>。题干问的是批准该类业务关系应由哪个层级承担责任，而不是由谁完成身份识别、资料收集或强化尽职调查，因此四个选项中只有B“高级管理层”直接对应教材规定的审批层级。</w:t>
      </w:r>
    </w:p>
    <w:p>
      <w:pPr>
        <w:spacing w:line="360" w:lineRule="auto" w:after="40"/>
        <w:ind w:firstLine="420"/>
      </w:pPr>
      <w:r>
        <w:t>但不能把这一结论扩大为“识别出任何类别的PEP后，一律无条件取得高级管理层批准”。教材将PEP分为外国PEP、国内PEP和国际组织PEP</w:t>
      </w:r>
      <w:r>
        <w:rPr>
          <w:sz w:val="15"/>
          <w:vertAlign w:val="superscript"/>
        </w:rPr>
        <w:t>P320</w:t>
      </w:r>
      <w:r>
        <w:t>：外国PEP应始终视为高风险并接受强化尽职调查；国内PEP和国际组织PEP则应先进行风险评估，以确定风险等级和适当的尽职调查水平</w:t>
      </w:r>
      <w:r>
        <w:rPr>
          <w:sz w:val="15"/>
          <w:vertAlign w:val="superscript"/>
        </w:rPr>
        <w:t>P320</w:t>
      </w:r>
      <w:r>
        <w:t>。FATF第12项建议进一步规定，对外国PEP，建立业务关系或继续现有业务关系时应取得高级管理层批准；对国内PEP和国际组织PEP，只有在业务关系风险较高时，才适用包括高级管理层批准在内的相应措施。因此，B回答的是“由谁批准”，PEP类别和风险水平决定的是“何时需要该项批准”。</w:t>
      </w:r>
    </w:p>
    <w:p>
      <w:pPr>
        <w:spacing w:before="120" w:after="40"/>
      </w:pPr>
      <w:r>
        <w:rPr>
          <w:b/>
          <w:sz w:val="21"/>
          <w:shd w:fill="D6E4F0" w:val="clear"/>
        </w:rPr>
        <w:t>教材原句：</w:t>
      </w:r>
    </w:p>
    <w:p>
      <w:pPr>
        <w:spacing w:line="360" w:lineRule="auto" w:after="40"/>
        <w:ind w:firstLine="420"/>
      </w:pPr>
      <w:r>
        <w:t>"financial institutions should identify PEPs, obtain senior management approval to establish a business relationship with a PEP, and verify their sources of wealth and funds."</w:t>
      </w:r>
    </w:p>
    <w:p>
      <w:pPr>
        <w:spacing w:before="120" w:after="40"/>
      </w:pPr>
      <w:r>
        <w:rPr>
          <w:b/>
          <w:sz w:val="21"/>
          <w:shd w:fill="D6E4F0" w:val="clear"/>
        </w:rPr>
        <w:t>A项错误：</w:t>
      </w:r>
    </w:p>
    <w:p>
      <w:pPr>
        <w:spacing w:line="360" w:lineRule="auto" w:after="40"/>
        <w:ind w:firstLine="420"/>
      </w:pPr>
      <w:r>
        <w:t>KYC分析师可能参与客户身份识别或尽职调查，但题干问的是业务关系的批准层级。教材和FATF第12项建议均明确使用“高级管理层批准”，没有将该批准权限指定给KYC分析师。</w:t>
      </w:r>
    </w:p>
    <w:p>
      <w:pPr>
        <w:spacing w:before="120" w:after="40"/>
      </w:pPr>
      <w:r>
        <w:rPr>
          <w:b/>
          <w:sz w:val="21"/>
          <w:shd w:fill="D6E4F0" w:val="clear"/>
        </w:rPr>
        <w:t>C项错误：</w:t>
      </w:r>
    </w:p>
    <w:p>
      <w:pPr>
        <w:spacing w:line="360" w:lineRule="auto" w:after="40"/>
        <w:ind w:firstLine="420"/>
      </w:pPr>
      <w:r>
        <w:t>客户经理可能参与客户关系建立过程，但参与业务流程不等于承担该关系的批准责任。与选项C相比，选项B与教材“获得高级管理层批准”的表述直接对应。</w:t>
      </w:r>
    </w:p>
    <w:p>
      <w:pPr>
        <w:spacing w:before="120" w:after="40"/>
      </w:pPr>
      <w:r>
        <w:rPr>
          <w:b/>
          <w:sz w:val="21"/>
          <w:shd w:fill="D6E4F0" w:val="clear"/>
        </w:rPr>
        <w:t>D项错误：</w:t>
      </w:r>
    </w:p>
    <w:p>
      <w:pPr>
        <w:spacing w:line="360" w:lineRule="auto" w:after="40"/>
        <w:ind w:firstLine="420"/>
      </w:pPr>
      <w:r>
        <w:t>强化尽职调查与审批是两个不同环节；实施或审查强化尽职调查，并不当然等于拥有业务关系批准权。FATF第12项建议将高级管理层批准与财富来源、资金来源核实及强化持续监控并列为不同措施，因此D不如B符合题干所问的审批主体。</w:t>
      </w:r>
    </w:p>
    <w:p>
      <w:pPr>
        <w:spacing w:before="120" w:after="40"/>
      </w:pPr>
      <w:r>
        <w:rPr>
          <w:b/>
          <w:sz w:val="21"/>
          <w:shd w:fill="D6E4F0" w:val="clear"/>
        </w:rPr>
        <w:t>易错提醒：</w:t>
      </w:r>
    </w:p>
    <w:p>
      <w:pPr>
        <w:spacing w:line="360" w:lineRule="auto" w:after="40"/>
        <w:ind w:firstLine="420"/>
      </w:pPr>
      <w:r>
        <w:t>本题要区分“</w:t>
      </w:r>
      <w:r>
        <w:rPr>
          <w:b/>
        </w:rPr>
        <w:t>由谁批准</w:t>
      </w:r>
      <w:r>
        <w:t>”和“</w:t>
      </w:r>
      <w:r>
        <w:rPr>
          <w:b/>
        </w:rPr>
        <w:t>何时要求批准</w:t>
      </w:r>
      <w:r>
        <w:t>”。审批层级是高级管理层；但适用条件因PEP类别而异：外国PEP在建立业务关系或继续现有业务关系时适用该批准要求，国内PEP和国际组织PEP则在业务关系风险较高时适用相应强化措施。不能把所有PEP关系概括成无条件、一律审批。</w:t>
      </w:r>
    </w:p>
    <w:p>
      <w:pPr>
        <w:spacing w:line="360" w:lineRule="auto" w:after="120"/>
      </w:pPr>
      <w:r/>
    </w:p>
    <w:p>
      <w:pPr>
        <w:spacing w:line="360" w:lineRule="auto" w:after="40"/>
      </w:pPr>
      <w:r>
        <w:t>8. Which statement best describes an organizational challenge for law enforcement agencies and Financial Intelligence Units (FIUs) when conducting cross-border money laundering (ML) investigations?</w:t>
      </w:r>
    </w:p>
    <w:p>
      <w:pPr>
        <w:spacing w:line="360" w:lineRule="auto" w:after="20"/>
        <w:ind w:firstLine="283"/>
      </w:pPr>
      <w:r>
        <w:t>A. Defining a common communication approach and language between all involved parties</w:t>
      </w:r>
    </w:p>
    <w:p>
      <w:pPr>
        <w:spacing w:line="360" w:lineRule="auto" w:after="20"/>
        <w:ind w:firstLine="283"/>
      </w:pPr>
      <w:r>
        <w:t>B. Delays in the investigation due to a foreign FIU awaiting the results of queries performed by third parties</w:t>
      </w:r>
    </w:p>
    <w:p>
      <w:pPr>
        <w:spacing w:line="360" w:lineRule="auto" w:after="20"/>
        <w:ind w:firstLine="283"/>
      </w:pPr>
      <w:r>
        <w:t>C. Conducting an investigation in all countries through which ML funds were transferred when one or more of the countries do not have an FIU</w:t>
      </w:r>
    </w:p>
    <w:p>
      <w:pPr>
        <w:spacing w:line="360" w:lineRule="auto" w:after="20"/>
        <w:ind w:firstLine="283"/>
      </w:pPr>
      <w:r>
        <w:t>D. Investigations that involve high-ranking politicians who often have influence over local FIUs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跨境洗钱调查中FIU组织节点缺失造成的协作障碍</w:t>
      </w:r>
    </w:p>
    <w:p>
      <w:pPr>
        <w:spacing w:before="120" w:after="40"/>
      </w:pPr>
      <w:r>
        <w:rPr>
          <w:b/>
          <w:sz w:val="21"/>
          <w:shd w:fill="D6E4F0" w:val="clear"/>
        </w:rPr>
        <w:t>核心解析：</w:t>
      </w:r>
    </w:p>
    <w:p>
      <w:pPr>
        <w:spacing w:line="360" w:lineRule="auto" w:after="40"/>
        <w:ind w:firstLine="420"/>
      </w:pPr>
      <w:r>
        <w:t>FATF建议要求各司法辖区设立金融情报机构（FIU），用于分析可疑交易报告并支持执法调查</w:t>
      </w:r>
      <w:r>
        <w:rPr>
          <w:sz w:val="15"/>
          <w:vertAlign w:val="superscript"/>
        </w:rPr>
        <w:t>P149</w:t>
      </w:r>
      <w:r>
        <w:t>；根据FATF标准和埃格蒙特集团原则，各国FIU还应自发或应请求相互传播金融情报</w:t>
      </w:r>
      <w:r>
        <w:rPr>
          <w:sz w:val="15"/>
          <w:vertAlign w:val="superscript"/>
        </w:rPr>
        <w:t>P231</w:t>
      </w:r>
      <w:r>
        <w:t>。因此，如果资金流经国中有国家未设立FIU，该国就无法通过FIU正常参与这一标准的</w:t>
      </w:r>
      <w:r>
        <w:rPr>
          <w:b/>
        </w:rPr>
        <w:t>FIU间情报交换流程</w:t>
      </w:r>
      <w:r>
        <w:t>，从而增加在所有相关国家协调调查的难度。四个选项中，C最直接描述了组织机构缺位造成的跨境协作障碍。</w:t>
      </w:r>
    </w:p>
    <w:p>
      <w:pPr>
        <w:spacing w:line="360" w:lineRule="auto" w:after="40"/>
        <w:ind w:firstLine="420"/>
      </w:pPr>
      <w:r>
        <w:t>教材同时说明，Eurojust和Europol等国际机构也会协调跨国调查和国际执法活动</w:t>
      </w:r>
      <w:r>
        <w:rPr>
          <w:sz w:val="15"/>
          <w:vertAlign w:val="superscript"/>
        </w:rPr>
        <w:t>P233</w:t>
      </w:r>
      <w:r>
        <w:t>。因此，缺少FIU不等于所有国际合作渠道均告中断；本题选择C，是因为它比其他选项更直接体现“相关国家缺少FIU这一组织节点”，而不是因为FIU是跨境合作的唯一渠道。</w:t>
      </w:r>
    </w:p>
    <w:p>
      <w:pPr>
        <w:spacing w:before="120" w:after="40"/>
      </w:pPr>
      <w:r>
        <w:rPr>
          <w:b/>
          <w:sz w:val="21"/>
          <w:shd w:fill="D6E4F0" w:val="clear"/>
        </w:rPr>
        <w:t>教材原句：</w:t>
      </w:r>
    </w:p>
    <w:p>
      <w:pPr>
        <w:spacing w:line="360" w:lineRule="auto" w:after="40"/>
        <w:ind w:firstLine="420"/>
      </w:pPr>
      <w:r>
        <w:t>"Jurisdictions should establish an FIU to analyze suspicious transaction reports and support law enforcement investigations."</w:t>
      </w:r>
    </w:p>
    <w:p>
      <w:pPr>
        <w:spacing w:before="120" w:after="40"/>
      </w:pPr>
      <w:r>
        <w:rPr>
          <w:b/>
          <w:sz w:val="21"/>
          <w:shd w:fill="D6E4F0" w:val="clear"/>
        </w:rPr>
        <w:t>A项错误：</w:t>
      </w:r>
    </w:p>
    <w:p>
      <w:pPr>
        <w:spacing w:line="360" w:lineRule="auto" w:after="40"/>
        <w:ind w:firstLine="420"/>
      </w:pPr>
      <w:r>
        <w:t>确定共同沟通方式和语言属于既有参与方之间的协调问题，但A没有描述承担金融情报职能的组织是否存在。相比之下，C直接指出某一相关国家没有FIU，更贴近题干所问的组织机构层面挑战。</w:t>
      </w:r>
    </w:p>
    <w:p>
      <w:pPr>
        <w:spacing w:before="120" w:after="40"/>
      </w:pPr>
      <w:r>
        <w:rPr>
          <w:b/>
          <w:sz w:val="21"/>
          <w:shd w:fill="D6E4F0" w:val="clear"/>
        </w:rPr>
        <w:t>B项错误：</w:t>
      </w:r>
    </w:p>
    <w:p>
      <w:pPr>
        <w:spacing w:line="360" w:lineRule="auto" w:after="40"/>
        <w:ind w:firstLine="420"/>
      </w:pPr>
      <w:r>
        <w:t>外国FIU等待第三方查询结果属于具体调查中的流程延迟，前提是该国已有FIU并正在处理请求。C描述的则是相关国家缺少FIU，因而无法正常使用标准FIU间交换渠道</w:t>
      </w:r>
      <w:r>
        <w:rPr>
          <w:sz w:val="15"/>
          <w:vertAlign w:val="superscript"/>
        </w:rPr>
        <w:t>P231</w:t>
      </w:r>
      <w:r>
        <w:t>，组织层面的匹配更直接。</w:t>
      </w:r>
    </w:p>
    <w:p>
      <w:pPr>
        <w:spacing w:before="120" w:after="40"/>
      </w:pPr>
      <w:r>
        <w:rPr>
          <w:b/>
          <w:sz w:val="21"/>
          <w:shd w:fill="D6E4F0" w:val="clear"/>
        </w:rPr>
        <w:t>D项错误：</w:t>
      </w:r>
    </w:p>
    <w:p>
      <w:pPr>
        <w:spacing w:line="360" w:lineRule="auto" w:after="40"/>
        <w:ind w:firstLine="420"/>
      </w:pPr>
      <w:r>
        <w:t>埃格蒙特集团的标准制定职能包括促进FIU的运作自主性</w:t>
      </w:r>
      <w:r>
        <w:rPr>
          <w:sz w:val="15"/>
          <w:vertAlign w:val="superscript"/>
        </w:rPr>
        <w:t>P167</w:t>
      </w:r>
      <w:r>
        <w:t>，因此外部影响确实可能构成FIU治理风险；但D限定于涉及高级政客的特定调查。C描述的是资金流经国缺少FIU这一组织节点，在四个选项中更直接对应题干所问的跨境调查组织挑战。</w:t>
      </w:r>
    </w:p>
    <w:p>
      <w:pPr>
        <w:spacing w:before="120" w:after="40"/>
      </w:pPr>
      <w:r>
        <w:rPr>
          <w:b/>
          <w:sz w:val="21"/>
          <w:shd w:fill="D6E4F0" w:val="clear"/>
        </w:rPr>
        <w:t>易错提醒：</w:t>
      </w:r>
    </w:p>
    <w:p>
      <w:pPr>
        <w:spacing w:line="360" w:lineRule="auto" w:after="40"/>
        <w:ind w:firstLine="420"/>
      </w:pPr>
      <w:r>
        <w:t>本题要比较的是不同问题与“组织挑战”的直接匹配程度：A、B描述已有参与方之间的沟通或流程问题；D描述已有FIU可能面临的运作自主性问题</w:t>
      </w:r>
      <w:r>
        <w:rPr>
          <w:sz w:val="15"/>
          <w:vertAlign w:val="superscript"/>
        </w:rPr>
        <w:t>P167</w:t>
      </w:r>
      <w:r>
        <w:t>；C则描述相关国家根本没有FIU这一组织节点</w:t>
      </w:r>
      <w:r>
        <w:rPr>
          <w:sz w:val="15"/>
          <w:vertAlign w:val="superscript"/>
        </w:rPr>
        <w:t>P149</w:t>
      </w:r>
      <w:r>
        <w:t>。还要注意，FIU间情报交换只是跨境合作的重要渠道之一</w:t>
      </w:r>
      <w:r>
        <w:rPr>
          <w:sz w:val="15"/>
          <w:vertAlign w:val="superscript"/>
        </w:rPr>
        <w:t>P231</w:t>
      </w:r>
      <w:r>
        <w:t>；教材同时介绍了Eurojust、Europol等跨境协调主体</w:t>
      </w:r>
      <w:r>
        <w:rPr>
          <w:sz w:val="15"/>
          <w:vertAlign w:val="superscript"/>
        </w:rPr>
        <w:t>P233</w:t>
      </w:r>
      <w:r>
        <w:t>，不能把“缺少FIU”扩大为“所有国际合作均无法开展”。</w:t>
      </w:r>
    </w:p>
    <w:p>
      <w:pPr>
        <w:spacing w:line="360" w:lineRule="auto" w:after="120"/>
      </w:pPr>
      <w:r/>
    </w:p>
    <w:p>
      <w:pPr>
        <w:spacing w:line="360" w:lineRule="auto" w:after="40"/>
      </w:pPr>
      <w:r>
        <w:t>9. When the Financial Action Task Force (FATF) places a jurisdiction on the list of jurisdictions under increased monitoring, also known as the grey list, the jurisdiction:</w:t>
      </w:r>
    </w:p>
    <w:p>
      <w:pPr>
        <w:spacing w:line="360" w:lineRule="auto" w:after="20"/>
        <w:ind w:firstLine="283"/>
      </w:pPr>
      <w:r>
        <w:t>A. Accepts to participate in an off-cycle FATF mutual evaluation to be held within the next 12 months</w:t>
      </w:r>
    </w:p>
    <w:p>
      <w:pPr>
        <w:spacing w:line="360" w:lineRule="auto" w:after="20"/>
        <w:ind w:firstLine="283"/>
      </w:pPr>
      <w:r>
        <w:t>B. Must pay a fine to be removed from the list before the next FATF plenary</w:t>
      </w:r>
    </w:p>
    <w:p>
      <w:pPr>
        <w:spacing w:line="360" w:lineRule="auto" w:after="20"/>
        <w:ind w:firstLine="283"/>
      </w:pPr>
      <w:r>
        <w:t>C. Has committed to swiftly resolving the deficiencies identified in a FATF mutual evaluation</w:t>
      </w:r>
    </w:p>
    <w:p>
      <w:pPr>
        <w:spacing w:line="360" w:lineRule="auto" w:after="20"/>
        <w:ind w:firstLine="283"/>
      </w:pPr>
      <w:r>
        <w:t>D. Poses a high money laundering, terrorist financing, and proliferation financing risk and must be restricted from accessing the international financial system</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FATF灰名单与黑名单的界定标准</w:t>
      </w:r>
    </w:p>
    <w:p>
      <w:pPr>
        <w:spacing w:before="120" w:after="40"/>
      </w:pPr>
      <w:r>
        <w:rPr>
          <w:b/>
          <w:sz w:val="21"/>
          <w:shd w:fill="D6E4F0" w:val="clear"/>
        </w:rPr>
        <w:t>核心解析：</w:t>
      </w:r>
    </w:p>
    <w:p>
      <w:pPr>
        <w:spacing w:line="360" w:lineRule="auto" w:after="40"/>
        <w:ind w:firstLine="420"/>
      </w:pPr>
      <w:r>
        <w:t>FATF将司法管辖区名单分为灰名单与黑名单两类。灰名单指反洗钱/反恐怖融资体系存在战略缺陷、但正与FATF积极合作解决这些问题的司法管辖区</w:t>
      </w:r>
      <w:r>
        <w:rPr>
          <w:sz w:val="15"/>
          <w:vertAlign w:val="superscript"/>
        </w:rPr>
        <w:t>P156</w:t>
      </w:r>
      <w:r>
        <w:t>。题干中的关键事实是该司法管辖区已被列入灰名单——即其已被认定为</w:t>
      </w:r>
      <w:r>
        <w:rPr>
          <w:b/>
        </w:rPr>
        <w:t>“存在战略缺陷但正积极整改”</w:t>
      </w:r>
      <w:r>
        <w:t>的状态。选项C“已承诺迅速解决FATF相互评估中发现的不足之处”直接对应了这一状态：被列入灰名单的前提是该司法管辖区已向FATF承诺整改，两者是定义与定义的直接映射关系。</w:t>
      </w:r>
    </w:p>
    <w:p>
      <w:pPr>
        <w:spacing w:before="120" w:after="40"/>
      </w:pPr>
      <w:r>
        <w:rPr>
          <w:b/>
          <w:sz w:val="21"/>
          <w:shd w:fill="D6E4F0" w:val="clear"/>
        </w:rPr>
        <w:t>教材原句：</w:t>
      </w:r>
    </w:p>
    <w:p>
      <w:pPr>
        <w:spacing w:line="360" w:lineRule="auto" w:after="40"/>
        <w:ind w:firstLine="420"/>
      </w:pPr>
      <w:r>
        <w:t>"It identifies jurisdictions with strategic deficiencies in their AML/CFT systems that are actively working with FATF to address these issues."</w:t>
      </w:r>
    </w:p>
    <w:p>
      <w:pPr>
        <w:spacing w:before="120" w:after="40"/>
      </w:pPr>
      <w:r>
        <w:rPr>
          <w:b/>
          <w:sz w:val="21"/>
          <w:shd w:fill="D6E4F0" w:val="clear"/>
        </w:rPr>
        <w:t>A项错误：</w:t>
      </w:r>
    </w:p>
    <w:p>
      <w:pPr>
        <w:spacing w:line="360" w:lineRule="auto" w:after="40"/>
        <w:ind w:firstLine="420"/>
      </w:pPr>
      <w:r>
        <w:t>选项A提到“12个月内参加非周期性相互评估”，但教材在描述互评估流程时指出一次完整互评估平均需要18个月，且灰名单定义中并未规定具体的评估时间窗口。题干问的是灰名单本身的含义，而灰名单的核心特征是“有缺陷但正积极整改”，并不包含“12个月内接受评估”这一具体承诺。相比之下，选项C与灰名单定义的匹配度更直接。</w:t>
      </w:r>
    </w:p>
    <w:p>
      <w:pPr>
        <w:spacing w:before="120" w:after="40"/>
      </w:pPr>
      <w:r>
        <w:rPr>
          <w:b/>
          <w:sz w:val="21"/>
          <w:shd w:fill="D6E4F0" w:val="clear"/>
        </w:rPr>
        <w:t>B项错误：</w:t>
      </w:r>
    </w:p>
    <w:p>
      <w:pPr>
        <w:spacing w:line="360" w:lineRule="auto" w:after="40"/>
        <w:ind w:firstLine="420"/>
      </w:pPr>
      <w:r>
        <w:t>选项B把“必须缴纳罚款”作为除名条件。灰名单的除名取决于通过修订法规、弥补漏洞等实质整改来解决已识别的问题，而不是缴纳罚款。</w:t>
      </w:r>
    </w:p>
    <w:p>
      <w:pPr>
        <w:spacing w:before="120" w:after="40"/>
      </w:pPr>
      <w:r>
        <w:rPr>
          <w:b/>
          <w:sz w:val="21"/>
          <w:shd w:fill="D6E4F0" w:val="clear"/>
        </w:rPr>
        <w:t>D项错误：</w:t>
      </w:r>
    </w:p>
    <w:p>
      <w:pPr>
        <w:spacing w:line="360" w:lineRule="auto" w:after="40"/>
        <w:ind w:firstLine="420"/>
      </w:pPr>
      <w:r>
        <w:t>选项D“构成高度风险且必须限制其进入国际金融体系”描述的是FATF黑名单的特征。教材将黑名单定义为反洗钱/反恐怖融资存在严重缺陷、需采取强化尽职调查乃至反制措施的司法管辖区</w:t>
      </w:r>
      <w:r>
        <w:rPr>
          <w:sz w:val="15"/>
          <w:vertAlign w:val="superscript"/>
        </w:rPr>
        <w:t>P156</w:t>
      </w:r>
      <w:r>
        <w:t>。灰名单的司法管辖区虽存在缺陷，但风险级别和应对措施均低于黑名单，不被要求“限制进入国际金融体系”。题干条件更直接匹配灰名单的定义而非黑名单的定义。</w:t>
      </w:r>
    </w:p>
    <w:p>
      <w:pPr>
        <w:spacing w:before="120" w:after="40"/>
      </w:pPr>
      <w:r>
        <w:rPr>
          <w:b/>
          <w:sz w:val="21"/>
          <w:shd w:fill="D6E4F0" w:val="clear"/>
        </w:rPr>
        <w:t>易错提醒：</w:t>
      </w:r>
    </w:p>
    <w:p>
      <w:pPr>
        <w:spacing w:line="360" w:lineRule="auto" w:after="40"/>
        <w:ind w:firstLine="420"/>
      </w:pPr>
      <w:r>
        <w:t>灰名单与黑名单的核心区分标准：灰名单的司法管辖区存在战略缺陷但正积极与FATF合作整改；黑名单的司法管辖区存在严重缺陷，FATF成员须采取强化尽职调查乃至反制措施</w:t>
      </w:r>
      <w:r>
        <w:rPr>
          <w:sz w:val="15"/>
          <w:vertAlign w:val="superscript"/>
        </w:rPr>
        <w:t>P156</w:t>
      </w:r>
      <w:r>
        <w:t>。做题时先看题干问的是哪个名单，再找与定义直接对应的特征。</w:t>
      </w:r>
    </w:p>
    <w:p>
      <w:pPr>
        <w:spacing w:line="360" w:lineRule="auto" w:after="120"/>
      </w:pPr>
      <w:r/>
    </w:p>
    <w:p>
      <w:pPr>
        <w:spacing w:line="360" w:lineRule="auto" w:after="40"/>
      </w:pPr>
      <w:r>
        <w:t>10. In the process of mutual evaluations and subsequent follow-ups used by the Financial Action Task Force (FATF) to assess the quality of various jurisdictions' AML controls, the FATF:</w:t>
      </w:r>
    </w:p>
    <w:p>
      <w:pPr>
        <w:spacing w:line="360" w:lineRule="auto" w:after="20"/>
        <w:ind w:firstLine="283"/>
      </w:pPr>
      <w:r>
        <w:t>A. Imposes economic sanctions on jurisdictions with lax AML controls to force them to strengthen their controls</w:t>
      </w:r>
    </w:p>
    <w:p>
      <w:pPr>
        <w:spacing w:line="360" w:lineRule="auto" w:after="20"/>
        <w:ind w:firstLine="283"/>
      </w:pPr>
      <w:r>
        <w:t>B. Conducts on-site inspections of financial institutions in jurisdictions with lax AML controls to identify deficiencies and recommend improvements</w:t>
      </w:r>
    </w:p>
    <w:p>
      <w:pPr>
        <w:spacing w:line="360" w:lineRule="auto" w:after="20"/>
        <w:ind w:firstLine="283"/>
      </w:pPr>
      <w:r>
        <w:t>C. Publishes annual reports ranking all member jurisdictions based on their self-assessment of AML controls</w:t>
      </w:r>
    </w:p>
    <w:p>
      <w:pPr>
        <w:spacing w:line="360" w:lineRule="auto" w:after="20"/>
        <w:ind w:firstLine="283"/>
      </w:pPr>
      <w:r>
        <w:t>D. Conducts a peer review process whereby member countries assess the AML controls of other jurisdictions and recommend improvements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FATF互评估的同行评审性质与机制</w:t>
      </w:r>
    </w:p>
    <w:p>
      <w:pPr>
        <w:spacing w:before="120" w:after="40"/>
      </w:pPr>
      <w:r>
        <w:rPr>
          <w:b/>
          <w:sz w:val="21"/>
          <w:shd w:fill="D6E4F0" w:val="clear"/>
        </w:rPr>
        <w:t>核心解析：</w:t>
      </w:r>
    </w:p>
    <w:p>
      <w:pPr>
        <w:spacing w:line="360" w:lineRule="auto" w:after="40"/>
        <w:ind w:firstLine="420"/>
      </w:pPr>
      <w:r>
        <w:t>FATF互评估（mutual evaluations）是成员司法管辖区之间的</w:t>
      </w:r>
      <w:r>
        <w:rPr>
          <w:b/>
        </w:rPr>
        <w:t>同行评审</w:t>
      </w:r>
      <w:r>
        <w:t>（peer reviews），评审结果形成详细报告，分析反洗钱程序及其有效性</w:t>
      </w:r>
      <w:r>
        <w:rPr>
          <w:sz w:val="15"/>
          <w:vertAlign w:val="superscript"/>
        </w:rPr>
        <w:t>P153</w:t>
      </w:r>
      <w:r>
        <w:t>。互评估报告还会提出加强司法管辖区能力的建议</w:t>
      </w:r>
      <w:r>
        <w:rPr>
          <w:sz w:val="15"/>
          <w:vertAlign w:val="superscript"/>
        </w:rPr>
        <w:t>P153</w:t>
      </w:r>
      <w:r>
        <w:t>，与D所述“评估其他司法管辖区的反洗钱控制措施，并提出改进建议”相符。FATF在这一过程中提供标准并组织同行评审，而不是直接对金融机构实施检查或对司法管辖区施加经济制裁。</w:t>
      </w:r>
    </w:p>
    <w:p>
      <w:pPr>
        <w:spacing w:before="120" w:after="40"/>
      </w:pPr>
      <w:r>
        <w:rPr>
          <w:b/>
          <w:sz w:val="21"/>
          <w:shd w:fill="D6E4F0" w:val="clear"/>
        </w:rPr>
        <w:t>教材原句：</w:t>
      </w:r>
    </w:p>
    <w:p>
      <w:pPr>
        <w:spacing w:line="360" w:lineRule="auto" w:after="40"/>
        <w:ind w:firstLine="420"/>
      </w:pPr>
      <w:r>
        <w:t>"FATF mutual evaluations are peer reviews between FATF member jurisdictions that result in thorough reports that analyze AML procedures and their effectiveness."</w:t>
      </w:r>
    </w:p>
    <w:p>
      <w:pPr>
        <w:spacing w:before="120" w:after="40"/>
      </w:pPr>
      <w:r>
        <w:rPr>
          <w:b/>
          <w:sz w:val="21"/>
          <w:shd w:fill="D6E4F0" w:val="clear"/>
        </w:rPr>
        <w:t>A项错误：</w:t>
      </w:r>
    </w:p>
    <w:p>
      <w:pPr>
        <w:spacing w:line="360" w:lineRule="auto" w:after="40"/>
        <w:ind w:firstLine="420"/>
      </w:pPr>
      <w:r>
        <w:t>FATF本身不实施经济制裁。教材提到反洗钱执法松懈的司法管辖区“可能面临国际制裁和贸易限制”，以及FATF黑名单可能导致成员国采取“反制措施”</w:t>
      </w:r>
      <w:r>
        <w:rPr>
          <w:sz w:val="15"/>
          <w:vertAlign w:val="superscript"/>
        </w:rPr>
        <w:t>P156</w:t>
      </w:r>
      <w:r>
        <w:t>，但这些制裁和措施是由成员国或其他国际主体实施的，不是FATF直接施加的。相比之下，题干问的是FATF在互评估中的直接角色，D的“同行评审”更直接匹配教材对FATF功能的定义</w:t>
      </w:r>
      <w:r>
        <w:rPr>
          <w:sz w:val="15"/>
          <w:vertAlign w:val="superscript"/>
        </w:rPr>
        <w:t>P153</w:t>
      </w:r>
      <w:r>
        <w:t>。</w:t>
      </w:r>
    </w:p>
    <w:p>
      <w:pPr>
        <w:spacing w:before="120" w:after="40"/>
      </w:pPr>
      <w:r>
        <w:rPr>
          <w:b/>
          <w:sz w:val="21"/>
          <w:shd w:fill="D6E4F0" w:val="clear"/>
        </w:rPr>
        <w:t>B项错误：</w:t>
      </w:r>
    </w:p>
    <w:p>
      <w:pPr>
        <w:spacing w:line="360" w:lineRule="auto" w:after="40"/>
        <w:ind w:firstLine="420"/>
      </w:pPr>
      <w:r>
        <w:t>FATF互评估中确实有现场访问环节（on-site visit），但访问对象是被评估的司法管辖区整体，目的是收集反洗钱措施有效性的证据</w:t>
      </w:r>
      <w:r>
        <w:rPr>
          <w:sz w:val="15"/>
          <w:vertAlign w:val="superscript"/>
        </w:rPr>
        <w:t>P153</w:t>
      </w:r>
      <w:r>
        <w:t>，而非对“金融机构”进行现场检查。教材明确说评估团队审查该司法管辖区的反洗钱法规有效性，主语是jurisdiction，不是financial institutions。D中的“评估其他司法管辖区的反洗钱控制措施”更准确反映教材描述的范围。</w:t>
      </w:r>
    </w:p>
    <w:p>
      <w:pPr>
        <w:spacing w:before="120" w:after="40"/>
      </w:pPr>
      <w:r>
        <w:rPr>
          <w:b/>
          <w:sz w:val="21"/>
          <w:shd w:fill="D6E4F0" w:val="clear"/>
        </w:rPr>
        <w:t>C项错误：选项有两个偏差点：</w:t>
      </w:r>
    </w:p>
    <w:p>
      <w:pPr>
        <w:spacing w:line="360" w:lineRule="auto" w:after="40"/>
        <w:ind w:firstLine="420"/>
      </w:pPr>
      <w:r>
        <w:t>一是互评估报告并非“每年发布”，FATF是根据25条标准“每年三次”发布不合作司法管辖区名单</w:t>
      </w:r>
      <w:r>
        <w:rPr>
          <w:sz w:val="15"/>
          <w:vertAlign w:val="superscript"/>
        </w:rPr>
        <w:t>P156</w:t>
      </w:r>
      <w:r>
        <w:t>，而非年度报告；二是评估来自外部同行评审，而非“自身反洗钱控制措施的自我评估”。教材明确指出互评估是由其他司法管辖区的反洗钱/反恐怖融资当局进行正式审查</w:t>
      </w:r>
      <w:r>
        <w:rPr>
          <w:sz w:val="15"/>
          <w:vertAlign w:val="superscript"/>
        </w:rPr>
        <w:t>P153</w:t>
      </w:r>
      <w:r>
        <w:t>，D中的“成员国据此评估其他司法管辖区”更吻合这一外部审查特征。</w:t>
      </w:r>
    </w:p>
    <w:p>
      <w:pPr>
        <w:spacing w:before="120" w:after="40"/>
      </w:pPr>
      <w:r>
        <w:rPr>
          <w:b/>
          <w:sz w:val="21"/>
          <w:shd w:fill="D6E4F0" w:val="clear"/>
        </w:rPr>
        <w:t>易错提醒：</w:t>
      </w:r>
    </w:p>
    <w:p>
      <w:pPr>
        <w:spacing w:line="360" w:lineRule="auto" w:after="40"/>
        <w:ind w:firstLine="420"/>
      </w:pPr>
      <w:r>
        <w:t>FATF互评估是“成员国之间”的同行评审</w:t>
      </w:r>
      <w:r>
        <w:rPr>
          <w:sz w:val="15"/>
          <w:vertAlign w:val="superscript"/>
        </w:rPr>
        <w:t>P153</w:t>
      </w:r>
      <w:r>
        <w:t>，不是FATF作为上级机构去检查成员国，也不是成员国自评。同时FATF本身不实施经济制裁，制裁和反制措施是FATF识别高风险辖区后由成员国或国际社会采取的后续行动</w:t>
      </w:r>
      <w:r>
        <w:rPr>
          <w:sz w:val="15"/>
          <w:vertAlign w:val="superscript"/>
        </w:rPr>
        <w:t>P156</w:t>
      </w:r>
      <w:r>
        <w:t>。“组织者/评审平台”与“执法者/制裁者”这两个角色容易混淆。核心区分：FATF提供标准和评审框架，执行层面的制裁由各成员国自行决定（灰黑名单可能导致金融孤立，黑名单提示成员采取EDD和反制措施）</w:t>
      </w:r>
      <w:r>
        <w:rPr>
          <w:sz w:val="15"/>
          <w:vertAlign w:val="superscript"/>
        </w:rPr>
        <w:t>P144、P156</w:t>
      </w:r>
      <w:r>
        <w:t>。</w:t>
      </w:r>
    </w:p>
    <w:p>
      <w:pPr>
        <w:spacing w:line="360" w:lineRule="auto" w:after="120"/>
      </w:pPr>
      <w:r/>
    </w:p>
    <w:p>
      <w:pPr>
        <w:spacing w:line="360" w:lineRule="auto" w:after="40"/>
      </w:pPr>
      <w:r>
        <w:t>11. What is the primary advantage of using a risk-based approach in allocating compliance resources?</w:t>
      </w:r>
    </w:p>
    <w:p>
      <w:pPr>
        <w:spacing w:line="360" w:lineRule="auto" w:after="20"/>
        <w:ind w:firstLine="283"/>
      </w:pPr>
      <w:r>
        <w:t>A. It reduces the overall cost of compliance programs.</w:t>
      </w:r>
    </w:p>
    <w:p>
      <w:pPr>
        <w:spacing w:line="360" w:lineRule="auto" w:after="20"/>
        <w:ind w:firstLine="283"/>
      </w:pPr>
      <w:r>
        <w:t>B. It eliminates the need for periodic audits of low-risk customers.</w:t>
      </w:r>
    </w:p>
    <w:p>
      <w:pPr>
        <w:spacing w:line="360" w:lineRule="auto" w:after="20"/>
        <w:ind w:firstLine="283"/>
      </w:pPr>
      <w:r>
        <w:t>C. It ensures focus on high-risk areas while maintaining operational efficiency.</w:t>
      </w:r>
    </w:p>
    <w:p>
      <w:pPr>
        <w:spacing w:line="360" w:lineRule="auto" w:after="20"/>
        <w:ind w:firstLine="283"/>
      </w:pPr>
      <w:r>
        <w:t>D. It standardizes compliance processes across all regions.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风险为本方法如何实现聚焦高风险与保效率的平衡</w:t>
      </w:r>
    </w:p>
    <w:p>
      <w:pPr>
        <w:spacing w:before="120" w:after="40"/>
      </w:pPr>
      <w:r>
        <w:rPr>
          <w:b/>
          <w:sz w:val="21"/>
          <w:shd w:fill="D6E4F0" w:val="clear"/>
        </w:rPr>
        <w:t>核心解析：</w:t>
      </w:r>
    </w:p>
    <w:p>
      <w:pPr>
        <w:spacing w:line="360" w:lineRule="auto" w:after="40"/>
        <w:ind w:firstLine="420"/>
      </w:pPr>
      <w:r>
        <w:t>风险为本方法（risk-based approach）是识别最高风险，并</w:t>
      </w:r>
      <w:r>
        <w:rPr>
          <w:b/>
        </w:rPr>
        <w:t>优先分配资源应对这些风险</w:t>
      </w:r>
      <w:r>
        <w:t>的过程</w:t>
      </w:r>
      <w:r>
        <w:rPr>
          <w:sz w:val="15"/>
          <w:vertAlign w:val="superscript"/>
        </w:rPr>
        <w:t>P381</w:t>
      </w:r>
      <w:r>
        <w:t>。FATF推广这一方法，是为了通过优先处理高风险威胁、优化资源配置和提高合规灵活性来提升效率</w:t>
      </w:r>
      <w:r>
        <w:rPr>
          <w:sz w:val="15"/>
          <w:vertAlign w:val="superscript"/>
        </w:rPr>
        <w:t>P158</w:t>
      </w:r>
      <w:r>
        <w:t>。因此，机构可以把更多资源投入高风险领域，同时根据风险程度调整其他领域的控制强度</w:t>
      </w:r>
      <w:r>
        <w:rPr>
          <w:sz w:val="15"/>
          <w:vertAlign w:val="superscript"/>
        </w:rPr>
        <w:t>P218、P276</w:t>
      </w:r>
      <w:r>
        <w:t>。选项C所述“关注高风险领域，同时保持运营效率”最符合这一资源配置优势。</w:t>
      </w:r>
    </w:p>
    <w:p>
      <w:pPr>
        <w:spacing w:before="120" w:after="40"/>
      </w:pPr>
      <w:r>
        <w:rPr>
          <w:b/>
          <w:sz w:val="21"/>
          <w:shd w:fill="D6E4F0" w:val="clear"/>
        </w:rPr>
        <w:t>A项错误：</w:t>
      </w:r>
    </w:p>
    <w:p>
      <w:pPr>
        <w:spacing w:line="360" w:lineRule="auto" w:after="40"/>
        <w:ind w:firstLine="420"/>
      </w:pPr>
      <w:r>
        <w:t>教材显示，降低合规成本可以是风险为本方法（或相关技术如持续KYC）带来的一个有益结果</w:t>
      </w:r>
      <w:r>
        <w:rPr>
          <w:sz w:val="15"/>
          <w:vertAlign w:val="superscript"/>
        </w:rPr>
        <w:t>P407</w:t>
      </w:r>
      <w:r>
        <w:t>，但它并非该方法在核心定义层面上“主要优势”。风险为本方法的着力点始终是高效的资源分配和风险聚焦</w:t>
      </w:r>
      <w:r>
        <w:rPr>
          <w:sz w:val="15"/>
          <w:vertAlign w:val="superscript"/>
        </w:rPr>
        <w:t>P381</w:t>
      </w:r>
      <w:r>
        <w:t>，因此选项A的匹配度不如C直接。</w:t>
      </w:r>
    </w:p>
    <w:p>
      <w:pPr>
        <w:spacing w:before="120" w:after="40"/>
      </w:pPr>
      <w:r>
        <w:rPr>
          <w:b/>
          <w:sz w:val="21"/>
          <w:shd w:fill="D6E4F0" w:val="clear"/>
        </w:rPr>
        <w:t>B项错误：</w:t>
      </w:r>
    </w:p>
    <w:p>
      <w:pPr>
        <w:spacing w:line="360" w:lineRule="auto" w:after="40"/>
        <w:ind w:firstLine="420"/>
      </w:pPr>
      <w:r>
        <w:t>教材明确指出，基于风险的方法并非忽略其他风险，而是将更多资源集中于最高风险</w:t>
      </w:r>
      <w:r>
        <w:rPr>
          <w:sz w:val="15"/>
          <w:vertAlign w:val="superscript"/>
        </w:rPr>
        <w:t>P276</w:t>
      </w:r>
      <w:r>
        <w:t>。对于低风险客户，可行的做法是简化尽职调查（SDD）</w:t>
      </w:r>
      <w:r>
        <w:rPr>
          <w:sz w:val="15"/>
          <w:vertAlign w:val="superscript"/>
        </w:rPr>
        <w:t>P285</w:t>
      </w:r>
      <w:r>
        <w:t>，但这绝不等于“消除了进行定期审计的必要”。选项B过度延伸了风险为本方法的豁免边界。</w:t>
      </w:r>
    </w:p>
    <w:p>
      <w:pPr>
        <w:spacing w:before="120" w:after="40"/>
      </w:pPr>
      <w:r>
        <w:rPr>
          <w:b/>
          <w:sz w:val="21"/>
          <w:shd w:fill="D6E4F0" w:val="clear"/>
        </w:rPr>
        <w:t>D项错误：</w:t>
      </w:r>
    </w:p>
    <w:p>
      <w:pPr>
        <w:spacing w:line="360" w:lineRule="auto" w:after="40"/>
        <w:ind w:firstLine="420"/>
      </w:pPr>
      <w:r>
        <w:t>“流程标准化”更多指向企业文化、质量控制（QC）或具体程序（Procedures）的执行目标，旨在确保政策在不同司法管辖区的一致应用</w:t>
      </w:r>
      <w:r>
        <w:rPr>
          <w:sz w:val="15"/>
          <w:vertAlign w:val="superscript"/>
        </w:rPr>
        <w:t>P291</w:t>
      </w:r>
      <w:r>
        <w:t>。而风险为本方法本身要求政策根据不同的风险暴露情况进行“量身定制”</w:t>
      </w:r>
      <w:r>
        <w:rPr>
          <w:sz w:val="15"/>
          <w:vertAlign w:val="superscript"/>
        </w:rPr>
        <w:t>P292</w:t>
      </w:r>
      <w:r>
        <w:t>，这与标准化有所区别。题干问的是资源分配法带来的优势，而非具体执行标准。</w:t>
      </w:r>
    </w:p>
    <w:p>
      <w:pPr>
        <w:spacing w:before="120" w:after="40"/>
      </w:pPr>
      <w:r>
        <w:rPr>
          <w:b/>
          <w:sz w:val="21"/>
          <w:shd w:fill="D6E4F0" w:val="clear"/>
        </w:rPr>
        <w:t>易错提醒：</w:t>
      </w:r>
    </w:p>
    <w:p>
      <w:pPr>
        <w:spacing w:line="360" w:lineRule="auto" w:after="40"/>
        <w:ind w:firstLine="420"/>
      </w:pPr>
      <w:r>
        <w:t>风险为本方法强调按风险高低配置资源，以提高风险管理效率，而不只是降低成本</w:t>
      </w:r>
      <w:r>
        <w:rPr>
          <w:sz w:val="15"/>
          <w:vertAlign w:val="superscript"/>
        </w:rPr>
        <w:t>P158、P381</w:t>
      </w:r>
      <w:r>
        <w:t>。成本可能因资源优化而下降，但这不是题干所问的主要优势。低风险也不等于无须管理，只是可以采用与风险程度相称的措施</w:t>
      </w:r>
      <w:r>
        <w:rPr>
          <w:sz w:val="15"/>
          <w:vertAlign w:val="superscript"/>
        </w:rPr>
        <w:t>P147、P285</w:t>
      </w:r>
      <w:r>
        <w:t>。</w:t>
      </w:r>
    </w:p>
    <w:p>
      <w:pPr>
        <w:spacing w:line="360" w:lineRule="auto" w:after="120"/>
      </w:pPr>
      <w:r/>
    </w:p>
    <w:p>
      <w:pPr>
        <w:spacing w:line="360" w:lineRule="auto" w:after="40"/>
      </w:pPr>
      <w:r>
        <w:t>12. Which of the following measures is one that the FATF recommends that financial institutions and designated non-financial businesses and professions (DNFBPs) take to mitigate risks arising from business relationships with foreign politically exposed persons (PEPs)?</w:t>
      </w:r>
    </w:p>
    <w:p>
      <w:pPr>
        <w:spacing w:line="360" w:lineRule="auto" w:after="20"/>
        <w:ind w:firstLine="283"/>
      </w:pPr>
      <w:r>
        <w:t>A. Raise transaction monitoring thresholds for PEP accounts in automated systems to account for higher transaction values and complex legal vehicles and financial structures</w:t>
      </w:r>
    </w:p>
    <w:p>
      <w:pPr>
        <w:spacing w:line="360" w:lineRule="auto" w:after="20"/>
        <w:ind w:firstLine="283"/>
      </w:pPr>
      <w:r>
        <w:t>B. Require approval from the prudential regulator for entering into or continuing the business relationship</w:t>
      </w:r>
    </w:p>
    <w:p>
      <w:pPr>
        <w:spacing w:line="360" w:lineRule="auto" w:after="20"/>
        <w:ind w:firstLine="283"/>
      </w:pPr>
      <w:r>
        <w:t>C. Subscribe to commercial databases to assist in identifying politically exposed persons (PEPs)</w:t>
      </w:r>
    </w:p>
    <w:p>
      <w:pPr>
        <w:spacing w:line="360" w:lineRule="auto" w:after="20"/>
        <w:ind w:firstLine="283"/>
      </w:pPr>
      <w:r>
        <w:t>D. Establish processes to understand the source of wealth of politically exposed persons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识别FATF对PEP的强化尽职调查要求</w:t>
      </w:r>
    </w:p>
    <w:p>
      <w:pPr>
        <w:spacing w:before="120" w:after="40"/>
      </w:pPr>
      <w:r>
        <w:rPr>
          <w:b/>
          <w:sz w:val="21"/>
          <w:shd w:fill="D6E4F0" w:val="clear"/>
        </w:rPr>
        <w:t>核心解析：</w:t>
      </w:r>
    </w:p>
    <w:p>
      <w:pPr>
        <w:spacing w:line="360" w:lineRule="auto" w:after="40"/>
        <w:ind w:firstLine="420"/>
      </w:pPr>
      <w:r>
        <w:rPr>
          <w:b/>
        </w:rPr>
        <w:t>外国PEP始终被视为高风险客户</w:t>
      </w:r>
      <w:r>
        <w:t>，应接受强化尽职调查</w:t>
      </w:r>
      <w:r>
        <w:rPr>
          <w:sz w:val="15"/>
          <w:vertAlign w:val="superscript"/>
        </w:rPr>
        <w:t>P320</w:t>
      </w:r>
      <w:r>
        <w:t>。相关措施包括识别PEP、取得高级管理层批准，并</w:t>
      </w:r>
      <w:r>
        <w:rPr>
          <w:b/>
        </w:rPr>
        <w:t>核实其财富来源和资金来源</w:t>
      </w:r>
      <w:r>
        <w:rPr>
          <w:sz w:val="15"/>
          <w:vertAlign w:val="superscript"/>
        </w:rPr>
        <w:t>P148</w:t>
      </w:r>
      <w:r>
        <w:t>；EDD的一般要求也包括更深入地核实这两类来源</w:t>
      </w:r>
      <w:r>
        <w:rPr>
          <w:sz w:val="15"/>
          <w:vertAlign w:val="superscript"/>
        </w:rPr>
        <w:t>P306</w:t>
      </w:r>
      <w:r>
        <w:t>。因此，D所述“建立流程以了解PEP的财富来源”直接对应高风险PEP的风险缓释措施。对于DNFBP，该要求适用于其受相关CDD规则约束的业务活动，不能理解为所有DNFBP在任何业务关系中都无条件适用</w:t>
      </w:r>
      <w:r>
        <w:rPr>
          <w:sz w:val="15"/>
          <w:vertAlign w:val="superscript"/>
        </w:rPr>
        <w:t>P201</w:t>
      </w:r>
      <w:r>
        <w:t>。</w:t>
      </w:r>
    </w:p>
    <w:p>
      <w:pPr>
        <w:spacing w:before="120" w:after="40"/>
      </w:pPr>
      <w:r>
        <w:rPr>
          <w:b/>
          <w:sz w:val="21"/>
          <w:shd w:fill="D6E4F0" w:val="clear"/>
        </w:rPr>
        <w:t>教材原句：</w:t>
      </w:r>
    </w:p>
    <w:p>
      <w:pPr>
        <w:spacing w:line="360" w:lineRule="auto" w:after="40"/>
        <w:ind w:firstLine="420"/>
      </w:pPr>
      <w:r>
        <w:t>"financial institutions should identify PEPs, obtain senior management approval to establish a business relationship with a PEP, and verify their sources of wealth and funds."</w:t>
      </w:r>
    </w:p>
    <w:p>
      <w:pPr>
        <w:spacing w:before="120" w:after="40"/>
      </w:pPr>
      <w:r>
        <w:rPr>
          <w:b/>
          <w:sz w:val="21"/>
          <w:shd w:fill="D6E4F0" w:val="clear"/>
        </w:rPr>
        <w:t>A项错误：</w:t>
      </w:r>
    </w:p>
    <w:p>
      <w:pPr>
        <w:spacing w:line="360" w:lineRule="auto" w:after="40"/>
        <w:ind w:firstLine="420"/>
      </w:pPr>
      <w:r>
        <w:t>PEP属于高风险客户，应接受强化尽职调查</w:t>
      </w:r>
      <w:r>
        <w:rPr>
          <w:sz w:val="15"/>
          <w:vertAlign w:val="superscript"/>
        </w:rPr>
        <w:t>P320</w:t>
      </w:r>
      <w:r>
        <w:t>。提高交易监控阈值通常会减少警报触发频率，与加强高风险客户审查的方向不符。虽然阈值可以针对不同账户类型设定，但不能仅因PEP交易金额较高、结构较复杂就放宽监控。</w:t>
      </w:r>
    </w:p>
    <w:p>
      <w:pPr>
        <w:spacing w:before="120" w:after="40"/>
      </w:pPr>
      <w:r>
        <w:rPr>
          <w:b/>
          <w:sz w:val="21"/>
          <w:shd w:fill="D6E4F0" w:val="clear"/>
        </w:rPr>
        <w:t>B项错误：</w:t>
      </w:r>
    </w:p>
    <w:p>
      <w:pPr>
        <w:spacing w:line="360" w:lineRule="auto" w:after="40"/>
        <w:ind w:firstLine="420"/>
      </w:pPr>
      <w:r>
        <w:t>FATF建议12直接要求金融机构与外国PEP建立或继续业务关系时取得“高级管理层批准”</w:t>
      </w:r>
      <w:r>
        <w:rPr>
          <w:sz w:val="15"/>
          <w:vertAlign w:val="superscript"/>
        </w:rPr>
        <w:t>P148</w:t>
      </w:r>
      <w:r>
        <w:t>；建议22将相关CDD措施延伸至规定活动中的DNFBP</w:t>
      </w:r>
      <w:r>
        <w:rPr>
          <w:sz w:val="15"/>
          <w:vertAlign w:val="superscript"/>
        </w:rPr>
        <w:t>P201</w:t>
      </w:r>
      <w:r>
        <w:t>，但批准主体仍是业务关系一方的内部高级管理层，而不是外部审慎监管机构。“高级管理层”与“审慎监管机构”的主体不同，题干更直接支持前者。</w:t>
      </w:r>
    </w:p>
    <w:p>
      <w:pPr>
        <w:spacing w:before="120" w:after="40"/>
      </w:pPr>
      <w:r>
        <w:rPr>
          <w:b/>
          <w:sz w:val="21"/>
          <w:shd w:fill="D6E4F0" w:val="clear"/>
        </w:rPr>
        <w:t>C项错误：</w:t>
      </w:r>
    </w:p>
    <w:p>
      <w:pPr>
        <w:spacing w:line="360" w:lineRule="auto" w:after="40"/>
        <w:ind w:firstLine="420"/>
      </w:pPr>
      <w:r>
        <w:t>订阅商业数据库有助于“识别”PEP，但题干问的是“降低建立业务关系后产生的风险”而非“如何找到PEP”。识别客户身份是尽职调查的前置步骤，而了解财富来源是识别出PEP后进一步降低风险的措施</w:t>
      </w:r>
      <w:r>
        <w:rPr>
          <w:sz w:val="15"/>
          <w:vertAlign w:val="superscript"/>
        </w:rPr>
        <w:t>P148、P306</w:t>
      </w:r>
      <w:r>
        <w:t>。相比于识别环节，核实财富来源更直接匹配题干“降低风险”的诉求。</w:t>
      </w:r>
    </w:p>
    <w:p>
      <w:pPr>
        <w:spacing w:before="120" w:after="40"/>
      </w:pPr>
      <w:r>
        <w:rPr>
          <w:b/>
          <w:sz w:val="21"/>
          <w:shd w:fill="D6E4F0" w:val="clear"/>
        </w:rPr>
        <w:t>易错提醒：</w:t>
      </w:r>
    </w:p>
    <w:p>
      <w:pPr>
        <w:spacing w:line="360" w:lineRule="auto" w:after="40"/>
        <w:ind w:firstLine="420"/>
      </w:pPr>
      <w:r>
        <w:t>区分“财富来源”与“资金来源”：财富来源回答“这个人的财富整体上是怎么积累的”（如继承、经商），资金来源回答“这笔具体交易的钱从哪来”（如某账户汇款）。FATF建议12将两者并列要求核实</w:t>
      </w:r>
      <w:r>
        <w:rPr>
          <w:sz w:val="15"/>
          <w:vertAlign w:val="superscript"/>
        </w:rPr>
        <w:t>P148</w:t>
      </w:r>
      <w:r>
        <w:t>；本题只问一项措施，因此D只写财富来源仍然成立。对于DNFBP，还应注意该要求是通过建议22适用于其规定活动</w:t>
      </w:r>
      <w:r>
        <w:rPr>
          <w:sz w:val="15"/>
          <w:vertAlign w:val="superscript"/>
        </w:rPr>
        <w:t>P201</w:t>
      </w:r>
      <w:r>
        <w:t>，而不是无条件适用于所有DNFBP业务关系。</w:t>
      </w:r>
    </w:p>
    <w:p>
      <w:pPr>
        <w:spacing w:line="360" w:lineRule="auto" w:after="120"/>
      </w:pPr>
      <w:r/>
    </w:p>
    <w:p>
      <w:pPr>
        <w:spacing w:line="360" w:lineRule="auto" w:after="40"/>
      </w:pPr>
      <w:r>
        <w:t>13. How does the Financial Action Task Force (FATF) measure the effectiveness of a country's efforts to combat money laundering and terrorist financing?</w:t>
      </w:r>
    </w:p>
    <w:p>
      <w:pPr>
        <w:spacing w:line="360" w:lineRule="auto" w:after="20"/>
        <w:ind w:firstLine="283"/>
      </w:pPr>
      <w:r>
        <w:t>A. FATF Evaluation Committee</w:t>
      </w:r>
    </w:p>
    <w:p>
      <w:pPr>
        <w:spacing w:line="360" w:lineRule="auto" w:after="20"/>
        <w:ind w:firstLine="283"/>
      </w:pPr>
      <w:r>
        <w:t>B. Series of internal audits followed by reporting to FATF</w:t>
      </w:r>
    </w:p>
    <w:p>
      <w:pPr>
        <w:spacing w:line="360" w:lineRule="auto" w:after="20"/>
        <w:ind w:firstLine="283"/>
      </w:pPr>
      <w:r>
        <w:t>C. Basel Committee</w:t>
      </w:r>
    </w:p>
    <w:p>
      <w:pPr>
        <w:spacing w:line="360" w:lineRule="auto" w:after="20"/>
        <w:ind w:firstLine="283"/>
      </w:pPr>
      <w:r>
        <w:t>D. Mutual evaluation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识别FATF通过相互评估衡量成员国反洗钱成效</w:t>
      </w:r>
    </w:p>
    <w:p>
      <w:pPr>
        <w:spacing w:before="120" w:after="40"/>
      </w:pPr>
      <w:r>
        <w:rPr>
          <w:b/>
          <w:sz w:val="21"/>
          <w:shd w:fill="D6E4F0" w:val="clear"/>
        </w:rPr>
        <w:t>核心解析：</w:t>
      </w:r>
    </w:p>
    <w:p>
      <w:pPr>
        <w:spacing w:line="360" w:lineRule="auto" w:after="40"/>
        <w:ind w:firstLine="420"/>
      </w:pPr>
      <w:r>
        <w:t>FATF通过其他司法管辖区的反洗钱/反恐怖融资主管机关开展正式审查，定期对成员司法管辖区实施</w:t>
      </w:r>
      <w:r>
        <w:rPr>
          <w:b/>
        </w:rPr>
        <w:t>相互评估</w:t>
      </w:r>
      <w:r>
        <w:rPr>
          <w:sz w:val="15"/>
          <w:vertAlign w:val="superscript"/>
        </w:rPr>
        <w:t>P146、P153</w:t>
      </w:r>
      <w:r>
        <w:t>。相互评估报告同时考察对FATF建议的</w:t>
      </w:r>
      <w:r>
        <w:rPr>
          <w:b/>
        </w:rPr>
        <w:t>技术合规性</w:t>
      </w:r>
      <w:r>
        <w:t>和一国整体反洗钱体系的</w:t>
      </w:r>
      <w:r>
        <w:rPr>
          <w:b/>
        </w:rPr>
        <w:t>有效性</w:t>
      </w:r>
      <w:r>
        <w:t>；在这一评估程序中，FATF使用11项直接目标对有效性进行衡量和评级</w:t>
      </w:r>
      <w:r>
        <w:rPr>
          <w:sz w:val="15"/>
          <w:vertAlign w:val="superscript"/>
        </w:rPr>
        <w:t>P150</w:t>
      </w:r>
      <w:r>
        <w:t>。因此，“相互评估”是FATF评估国家反洗钱/反恐怖融资成效的程序，11项直接目标则是程序内部的具体有效性衡量框架。题目给出的选项中，只有D准确说出了这一评估程序。</w:t>
      </w:r>
    </w:p>
    <w:p>
      <w:pPr>
        <w:spacing w:before="120" w:after="40"/>
      </w:pPr>
      <w:r>
        <w:rPr>
          <w:b/>
          <w:sz w:val="21"/>
          <w:shd w:fill="D6E4F0" w:val="clear"/>
        </w:rPr>
        <w:t>教材原句：</w:t>
      </w:r>
    </w:p>
    <w:p>
      <w:pPr>
        <w:spacing w:line="360" w:lineRule="auto" w:after="40"/>
        <w:ind w:firstLine="420"/>
      </w:pPr>
      <w:r>
        <w:t>"FATF mutual evaluations are peer reviews between FATF member jurisdictions that result in thorough reports that analyze AML procedures and their effectiveness."</w:t>
      </w:r>
    </w:p>
    <w:p>
      <w:pPr>
        <w:spacing w:before="120" w:after="40"/>
      </w:pPr>
      <w:r>
        <w:rPr>
          <w:b/>
          <w:sz w:val="21"/>
          <w:shd w:fill="D6E4F0" w:val="clear"/>
        </w:rPr>
        <w:t>A项错误：</w:t>
      </w:r>
    </w:p>
    <w:p>
      <w:pPr>
        <w:spacing w:line="360" w:lineRule="auto" w:after="40"/>
        <w:ind w:firstLine="420"/>
      </w:pPr>
      <w:r>
        <w:t>教材明确列出的FATF国家评估机制是相互评估</w:t>
      </w:r>
      <w:r>
        <w:rPr>
          <w:sz w:val="15"/>
          <w:vertAlign w:val="superscript"/>
        </w:rPr>
        <w:t>P146、P153</w:t>
      </w:r>
      <w:r>
        <w:t>，没有把“FATF评估委员会”作为成效衡量方式。A与教材所述机制名称不符。</w:t>
      </w:r>
    </w:p>
    <w:p>
      <w:pPr>
        <w:spacing w:before="120" w:after="40"/>
      </w:pPr>
      <w:r>
        <w:rPr>
          <w:b/>
          <w:sz w:val="21"/>
          <w:shd w:fill="D6E4F0" w:val="clear"/>
        </w:rPr>
        <w:t>B项错误：</w:t>
      </w:r>
    </w:p>
    <w:p>
      <w:pPr>
        <w:spacing w:line="360" w:lineRule="auto" w:after="40"/>
        <w:ind w:firstLine="420"/>
      </w:pPr>
      <w:r>
        <w:t>B描述由受评国家自行开展内部审计后向FATF报告；教材描述的相互评估则是由其他司法管辖区的反洗钱/反恐怖融资主管机关实施正式同行审查</w:t>
      </w:r>
      <w:r>
        <w:rPr>
          <w:sz w:val="15"/>
          <w:vertAlign w:val="superscript"/>
        </w:rPr>
        <w:t>P153</w:t>
      </w:r>
      <w:r>
        <w:t>。两者的评估主体和程序均不同。</w:t>
      </w:r>
    </w:p>
    <w:p>
      <w:pPr>
        <w:spacing w:before="120" w:after="40"/>
      </w:pPr>
      <w:r>
        <w:rPr>
          <w:b/>
          <w:sz w:val="21"/>
          <w:shd w:fill="D6E4F0" w:val="clear"/>
        </w:rPr>
        <w:t>C项错误：</w:t>
      </w:r>
    </w:p>
    <w:p>
      <w:pPr>
        <w:spacing w:line="360" w:lineRule="auto" w:after="40"/>
        <w:ind w:firstLine="420"/>
      </w:pPr>
      <w:r>
        <w:t>巴塞尔委员会是全球银行监管标准制定者</w:t>
      </w:r>
      <w:r>
        <w:rPr>
          <w:sz w:val="15"/>
          <w:vertAlign w:val="superscript"/>
        </w:rPr>
        <w:t>P165</w:t>
      </w:r>
      <w:r>
        <w:t>，不是题干所问的FATF国家评估程序。题干主语是FATF，教材直接对应的程序是相互评估。</w:t>
      </w:r>
    </w:p>
    <w:p>
      <w:pPr>
        <w:spacing w:before="120" w:after="40"/>
      </w:pPr>
      <w:r>
        <w:rPr>
          <w:b/>
          <w:sz w:val="21"/>
          <w:shd w:fill="D6E4F0" w:val="clear"/>
        </w:rPr>
        <w:t>易错提醒：</w:t>
      </w:r>
    </w:p>
    <w:p>
      <w:pPr>
        <w:spacing w:line="360" w:lineRule="auto" w:after="40"/>
        <w:ind w:firstLine="420"/>
      </w:pPr>
      <w:r>
        <w:t>不要混淆评估程序与评估指标：相互评估是FATF审查国家反洗钱/反恐怖融资体系的程序</w:t>
      </w:r>
      <w:r>
        <w:rPr>
          <w:sz w:val="15"/>
          <w:vertAlign w:val="superscript"/>
        </w:rPr>
        <w:t>P146、P153</w:t>
      </w:r>
      <w:r>
        <w:t>；11项直接目标是该程序中衡量有效性的具体框架</w:t>
      </w:r>
      <w:r>
        <w:rPr>
          <w:sz w:val="15"/>
          <w:vertAlign w:val="superscript"/>
        </w:rPr>
        <w:t>P150</w:t>
      </w:r>
      <w:r>
        <w:t>。本题选项询问的是评估程序，因此选择D。</w:t>
      </w:r>
    </w:p>
    <w:p>
      <w:pPr>
        <w:spacing w:line="360" w:lineRule="auto" w:after="120"/>
      </w:pPr>
      <w:r/>
    </w:p>
    <w:p>
      <w:pPr>
        <w:spacing w:line="360" w:lineRule="auto" w:after="40"/>
      </w:pPr>
      <w:r>
        <w:t>14. Which of the following is among the sanctions tools the United Nations Security Council could use that minimize negative effects on innocent civilian populations?</w:t>
      </w:r>
    </w:p>
    <w:p>
      <w:pPr>
        <w:spacing w:line="360" w:lineRule="auto" w:after="20"/>
        <w:ind w:firstLine="283"/>
      </w:pPr>
      <w:r>
        <w:t>A. Travel bans</w:t>
      </w:r>
    </w:p>
    <w:p>
      <w:pPr>
        <w:spacing w:line="360" w:lineRule="auto" w:after="20"/>
        <w:ind w:firstLine="283"/>
      </w:pPr>
      <w:r>
        <w:t>B. Comprehensive targeted sanctions</w:t>
      </w:r>
    </w:p>
    <w:p>
      <w:pPr>
        <w:spacing w:line="360" w:lineRule="auto" w:after="20"/>
        <w:ind w:firstLine="283"/>
      </w:pPr>
      <w:r>
        <w:t>C. Comprehensive sanctions</w:t>
      </w:r>
    </w:p>
    <w:p>
      <w:pPr>
        <w:spacing w:line="360" w:lineRule="auto" w:after="20"/>
        <w:ind w:firstLine="283"/>
      </w:pPr>
      <w:r>
        <w:t>D. Targeted sanctions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区分定向制裁与全面制裁的影响范围</w:t>
      </w:r>
    </w:p>
    <w:p>
      <w:pPr>
        <w:spacing w:before="120" w:after="40"/>
      </w:pPr>
      <w:r>
        <w:rPr>
          <w:b/>
          <w:sz w:val="21"/>
          <w:shd w:fill="D6E4F0" w:val="clear"/>
        </w:rPr>
        <w:t>核心解析：</w:t>
      </w:r>
    </w:p>
    <w:p>
      <w:pPr>
        <w:spacing w:line="360" w:lineRule="auto" w:after="40"/>
        <w:ind w:firstLine="420"/>
      </w:pPr>
      <w:r>
        <w:t>FATF建议要求各司法管辖区依照联合国安理会决议实施</w:t>
      </w:r>
      <w:r>
        <w:rPr>
          <w:b/>
        </w:rPr>
        <w:t>定向金融制裁</w:t>
      </w:r>
      <w:r>
        <w:t>，包括</w:t>
      </w:r>
      <w:r>
        <w:rPr>
          <w:b/>
        </w:rPr>
        <w:t>立即冻结被指定个人或实体的资产</w:t>
      </w:r>
      <w:r>
        <w:rPr>
          <w:sz w:val="15"/>
          <w:vertAlign w:val="superscript"/>
        </w:rPr>
        <w:t>P147</w:t>
      </w:r>
      <w:r>
        <w:t>。联合国安理会综合清单也列明受到制裁的具体个人和实体</w:t>
      </w:r>
      <w:r>
        <w:rPr>
          <w:sz w:val="15"/>
          <w:vertAlign w:val="superscript"/>
        </w:rPr>
        <w:t>P206</w:t>
      </w:r>
      <w:r>
        <w:t>。定向制裁把措施集中于被指定对象，而不是不加区分地覆盖一般群体，因此比全面制裁更能减少对无辜平民的附带影响。D项“定向制裁”（Targeted sanctions）与此直接对应，所以答案为D。</w:t>
      </w:r>
    </w:p>
    <w:p>
      <w:pPr>
        <w:spacing w:before="120" w:after="40"/>
      </w:pPr>
      <w:r>
        <w:rPr>
          <w:b/>
          <w:sz w:val="21"/>
          <w:shd w:fill="D6E4F0" w:val="clear"/>
        </w:rPr>
        <w:t>教材原句：</w:t>
      </w:r>
    </w:p>
    <w:p>
      <w:pPr>
        <w:spacing w:line="360" w:lineRule="auto" w:after="40"/>
        <w:ind w:firstLine="420"/>
      </w:pPr>
      <w:r>
        <w:t>"Jurisdictions should also implement targeted financial sanctions in compliance with UN Security Council resolutions; this includes freezing the assets of designated persons or entities without delay to combat the financing of terrorism."</w:t>
      </w:r>
    </w:p>
    <w:p>
      <w:pPr>
        <w:spacing w:before="120" w:after="40"/>
      </w:pPr>
      <w:r>
        <w:rPr>
          <w:b/>
          <w:sz w:val="21"/>
          <w:shd w:fill="D6E4F0" w:val="clear"/>
        </w:rPr>
        <w:t>A项错误：</w:t>
      </w:r>
    </w:p>
    <w:p>
      <w:pPr>
        <w:spacing w:line="360" w:lineRule="auto" w:after="40"/>
        <w:ind w:firstLine="420"/>
      </w:pPr>
      <w:r>
        <w:t>旅行禁令只是限制人员移动的一种具体措施，不能完整概括以特定个人或实体为对象的制裁类别。D所指的定向制裁与题干更匹配。</w:t>
      </w:r>
    </w:p>
    <w:p>
      <w:pPr>
        <w:spacing w:before="120" w:after="40"/>
      </w:pPr>
      <w:r>
        <w:rPr>
          <w:b/>
          <w:sz w:val="21"/>
          <w:shd w:fill="D6E4F0" w:val="clear"/>
        </w:rPr>
        <w:t>B项错误：</w:t>
      </w:r>
    </w:p>
    <w:p>
      <w:pPr>
        <w:spacing w:line="360" w:lineRule="auto" w:after="40"/>
        <w:ind w:firstLine="420"/>
      </w:pPr>
      <w:r>
        <w:t>“全面”强调广泛覆盖，“定向”强调限定对象，将两者组合会混淆制裁范围。题干要求的是针对特定对象的定向制裁。</w:t>
      </w:r>
    </w:p>
    <w:p>
      <w:pPr>
        <w:spacing w:before="120" w:after="40"/>
      </w:pPr>
      <w:r>
        <w:rPr>
          <w:b/>
          <w:sz w:val="21"/>
          <w:shd w:fill="D6E4F0" w:val="clear"/>
        </w:rPr>
        <w:t>C项错误：</w:t>
      </w:r>
    </w:p>
    <w:p>
      <w:pPr>
        <w:spacing w:line="360" w:lineRule="auto" w:after="40"/>
        <w:ind w:firstLine="420"/>
      </w:pPr>
      <w:r>
        <w:t>全面制裁的覆盖范围更广，通常更容易影响未被特定指定的一般群体；定向制裁则把措施集中于被指定的个人或实体，因此更符合题干要求。</w:t>
      </w:r>
    </w:p>
    <w:p>
      <w:pPr>
        <w:spacing w:before="120" w:after="40"/>
      </w:pPr>
      <w:r>
        <w:rPr>
          <w:b/>
          <w:sz w:val="21"/>
          <w:shd w:fill="D6E4F0" w:val="clear"/>
        </w:rPr>
        <w:t>易错提醒：</w:t>
      </w:r>
    </w:p>
    <w:p>
      <w:pPr>
        <w:spacing w:line="360" w:lineRule="auto" w:after="40"/>
        <w:ind w:firstLine="420"/>
      </w:pPr>
      <w:r>
        <w:t>“Targeted sanctions”以被指定的个人或实体为作用对象</w:t>
      </w:r>
      <w:r>
        <w:rPr>
          <w:sz w:val="15"/>
          <w:vertAlign w:val="superscript"/>
        </w:rPr>
        <w:t>P147、P206</w:t>
      </w:r>
      <w:r>
        <w:t>。题干用“尽量减少对无辜平民的负面影响”提示应选择对象范围受到限定的制裁类别，而不是单一限制措施或覆盖范围更广的全面制裁。</w:t>
      </w:r>
    </w:p>
    <w:p>
      <w:pPr>
        <w:spacing w:line="360" w:lineRule="auto" w:after="120"/>
      </w:pPr>
      <w:r/>
    </w:p>
    <w:p>
      <w:pPr>
        <w:spacing w:line="360" w:lineRule="auto" w:after="40"/>
      </w:pPr>
      <w:r>
        <w:t>15. The role of FATF-style regional bodies (FSRBs) is to: (Select three.)</w:t>
      </w:r>
    </w:p>
    <w:p>
      <w:pPr>
        <w:spacing w:line="360" w:lineRule="auto" w:after="20"/>
        <w:ind w:firstLine="283"/>
      </w:pPr>
      <w:r>
        <w:t>A. Identify and address the current financial crime trends through the issuance of typologies originating in members outside of their FSRB's jurisdiction.</w:t>
      </w:r>
    </w:p>
    <w:p>
      <w:pPr>
        <w:spacing w:line="360" w:lineRule="auto" w:after="20"/>
        <w:ind w:firstLine="283"/>
      </w:pPr>
      <w:r>
        <w:t>B. Provide AML/CFT technical assistance needed by members in their FSRB jurisdiction.</w:t>
      </w:r>
    </w:p>
    <w:p>
      <w:pPr>
        <w:spacing w:line="360" w:lineRule="auto" w:after="20"/>
        <w:ind w:firstLine="283"/>
      </w:pPr>
      <w:r>
        <w:t>C. Coordinate technical assistance for members in their FSRB jurisdiction.</w:t>
      </w:r>
    </w:p>
    <w:p>
      <w:pPr>
        <w:spacing w:line="360" w:lineRule="auto" w:after="20"/>
        <w:ind w:firstLine="283"/>
      </w:pPr>
      <w:r>
        <w:t>D. Set and amend the FATF 40 Recommendations for members in their FSRB jurisdiction.</w:t>
      </w:r>
    </w:p>
    <w:p>
      <w:pPr>
        <w:spacing w:line="360" w:lineRule="auto" w:after="20"/>
        <w:ind w:firstLine="283"/>
      </w:pPr>
      <w:r>
        <w:t>E. Identify and address any gaps in the AML/CFT policies for members outside of their FSRB jurisdiction.</w:t>
      </w:r>
    </w:p>
    <w:p>
      <w:pPr>
        <w:spacing w:line="360" w:lineRule="auto" w:after="20"/>
        <w:ind w:firstLine="283"/>
      </w:pPr>
      <w:r>
        <w:t>F. Offer mutual evaluation and follow-up processes for members in their FSRB jurisdiction.</w:t>
      </w:r>
    </w:p>
    <w:p>
      <w:pPr>
        <w:spacing w:line="360" w:lineRule="auto" w:after="40"/>
      </w:pPr>
      <w:r>
        <w:t>答案：B、C、F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FSRBs核心职能：评估、技术援助与区域协调</w:t>
      </w:r>
    </w:p>
    <w:p>
      <w:pPr>
        <w:spacing w:before="120" w:after="40"/>
      </w:pPr>
      <w:r>
        <w:rPr>
          <w:b/>
          <w:sz w:val="21"/>
          <w:shd w:fill="D6E4F0" w:val="clear"/>
        </w:rPr>
        <w:t>核心解析：</w:t>
      </w:r>
    </w:p>
    <w:p>
      <w:pPr>
        <w:spacing w:line="360" w:lineRule="auto" w:after="40"/>
        <w:ind w:firstLine="420"/>
      </w:pPr>
      <w:r>
        <w:t>教材将FSRB界定为协助实施FATF标准的</w:t>
      </w:r>
      <w:r>
        <w:rPr>
          <w:b/>
        </w:rPr>
        <w:t>自治区域组织</w:t>
      </w:r>
      <w:r>
        <w:rPr>
          <w:sz w:val="15"/>
          <w:vertAlign w:val="superscript"/>
        </w:rPr>
        <w:t>P145</w:t>
      </w:r>
      <w:r>
        <w:t>，其职责包括</w:t>
      </w:r>
      <w:r>
        <w:rPr>
          <w:b/>
        </w:rPr>
        <w:t>促进区域合作、协助互评估以及向成员提供技术援助</w:t>
      </w:r>
      <w:r>
        <w:rPr>
          <w:sz w:val="15"/>
          <w:vertAlign w:val="superscript"/>
        </w:rPr>
        <w:t>P145</w:t>
      </w:r>
      <w:r>
        <w:t>，因此B所述向本区域成员提供技术援助成立。</w:t>
      </w:r>
    </w:p>
    <w:p>
      <w:pPr>
        <w:spacing w:line="360" w:lineRule="auto" w:after="40"/>
        <w:ind w:firstLine="420"/>
      </w:pPr>
      <w:r>
        <w:t>A和E均把工作对象限定为FSRB管辖区以外的成员，但教材说明FSRB与</w:t>
      </w:r>
      <w:r>
        <w:rPr>
          <w:b/>
        </w:rPr>
        <w:t>“各自成员”合作</w:t>
      </w:r>
      <w:r>
        <w:t>识别区域问题并制定解决方案</w:t>
      </w:r>
      <w:r>
        <w:rPr>
          <w:sz w:val="15"/>
          <w:vertAlign w:val="superscript"/>
        </w:rPr>
        <w:t>P145</w:t>
      </w:r>
      <w:r>
        <w:t>，两项均存在服务范围错位。D把制定和修订FATF四十项建议归给FSRB，而教材明确指出FATF仍是唯一的标准制定机构，FSRB只是采纳和实施这些建议</w:t>
      </w:r>
      <w:r>
        <w:rPr>
          <w:sz w:val="15"/>
          <w:vertAlign w:val="superscript"/>
        </w:rPr>
        <w:t>P145</w:t>
      </w:r>
      <w:r>
        <w:t>，因此D也可直接排除。</w:t>
      </w:r>
    </w:p>
    <w:p>
      <w:pPr>
        <w:spacing w:line="360" w:lineRule="auto" w:after="40"/>
        <w:ind w:firstLine="420"/>
      </w:pPr>
      <w:r>
        <w:t>C概括了FSRB促进区域合作并协调向本区域成员提供技术援助的职能</w:t>
      </w:r>
      <w:r>
        <w:rPr>
          <w:sz w:val="15"/>
          <w:vertAlign w:val="superscript"/>
        </w:rPr>
        <w:t>P145</w:t>
      </w:r>
      <w:r>
        <w:t>。F中的“互评估”也有直接依据：FSRB通过开展评估和提出建议评价AML/CFT措施</w:t>
      </w:r>
      <w:r>
        <w:rPr>
          <w:sz w:val="15"/>
          <w:vertAlign w:val="superscript"/>
        </w:rPr>
        <w:t>P145</w:t>
      </w:r>
      <w:r>
        <w:t>，后续跟进则是互评估工作得以落实的延续。因此，应选择B、C、F。</w:t>
      </w:r>
    </w:p>
    <w:p>
      <w:pPr>
        <w:spacing w:before="120" w:after="40"/>
      </w:pPr>
      <w:r>
        <w:rPr>
          <w:b/>
          <w:sz w:val="21"/>
          <w:shd w:fill="D6E4F0" w:val="clear"/>
        </w:rPr>
        <w:t>A项错误：</w:t>
      </w:r>
    </w:p>
    <w:p>
      <w:pPr>
        <w:spacing w:line="360" w:lineRule="auto" w:after="40"/>
        <w:ind w:firstLine="420"/>
      </w:pPr>
      <w:r>
        <w:t>FSRB确可发布识别AML/CFT类型学的报告</w:t>
      </w:r>
      <w:r>
        <w:rPr>
          <w:sz w:val="15"/>
          <w:vertAlign w:val="superscript"/>
        </w:rPr>
        <w:t>P145</w:t>
      </w:r>
      <w:r>
        <w:t>，但其工作围绕自身成员和区域问题展开。A特意把类型学来源限定为“FSRB管辖区以外成员”，与FSRB同其各自成员合作识别区域问题的定位不符</w:t>
      </w:r>
      <w:r>
        <w:rPr>
          <w:sz w:val="15"/>
          <w:vertAlign w:val="superscript"/>
        </w:rPr>
        <w:t>P145</w:t>
      </w:r>
      <w:r>
        <w:t>。</w:t>
      </w:r>
    </w:p>
    <w:p>
      <w:pPr>
        <w:spacing w:before="120" w:after="40"/>
      </w:pPr>
      <w:r>
        <w:rPr>
          <w:b/>
          <w:sz w:val="21"/>
          <w:shd w:fill="D6E4F0" w:val="clear"/>
        </w:rPr>
        <w:t>D项错误：</w:t>
      </w:r>
    </w:p>
    <w:p>
      <w:pPr>
        <w:spacing w:line="360" w:lineRule="auto" w:after="40"/>
        <w:ind w:firstLine="420"/>
      </w:pPr>
      <w:r>
        <w:t>FATF仍是唯一的标准制定机构，FSRB的角色是采纳和实施FATF的40项建议</w:t>
      </w:r>
      <w:r>
        <w:rPr>
          <w:sz w:val="15"/>
          <w:vertAlign w:val="superscript"/>
        </w:rPr>
        <w:t>P145</w:t>
      </w:r>
      <w:r>
        <w:t>，无权为本区域成员制定或修订这些建议。</w:t>
      </w:r>
    </w:p>
    <w:p>
      <w:pPr>
        <w:spacing w:before="120" w:after="40"/>
      </w:pPr>
      <w:r>
        <w:rPr>
          <w:b/>
          <w:sz w:val="21"/>
          <w:shd w:fill="D6E4F0" w:val="clear"/>
        </w:rPr>
        <w:t>E项错误：</w:t>
      </w:r>
    </w:p>
    <w:p>
      <w:pPr>
        <w:spacing w:line="360" w:lineRule="auto" w:after="40"/>
        <w:ind w:firstLine="420"/>
      </w:pPr>
      <w:r>
        <w:t>FSRB的共同目标是推动其成员遵守国际AML/CFT标准，并与各自成员识别区域问题</w:t>
      </w:r>
      <w:r>
        <w:rPr>
          <w:sz w:val="15"/>
          <w:vertAlign w:val="superscript"/>
        </w:rPr>
        <w:t>P145</w:t>
      </w:r>
      <w:r>
        <w:t>。E把对象限定为辖区以外成员，不符合其以本区域成员为中心的职责范围。</w:t>
      </w:r>
    </w:p>
    <w:p>
      <w:pPr>
        <w:spacing w:before="120" w:after="40"/>
      </w:pPr>
      <w:r>
        <w:rPr>
          <w:b/>
          <w:sz w:val="21"/>
          <w:shd w:fill="D6E4F0" w:val="clear"/>
        </w:rPr>
        <w:t>易错提醒：</w:t>
      </w:r>
    </w:p>
    <w:p>
      <w:pPr>
        <w:spacing w:line="360" w:lineRule="auto" w:after="40"/>
        <w:ind w:firstLine="420"/>
      </w:pPr>
      <w:r>
        <w:t>B直接对应技术援助，C对应区域协调，F对应相互评估及其后续跟进</w:t>
      </w:r>
      <w:r>
        <w:rPr>
          <w:sz w:val="15"/>
          <w:vertAlign w:val="superscript"/>
        </w:rPr>
        <w:t>P145</w:t>
      </w:r>
      <w:r>
        <w:t>。A、E把工作对象错误地限定为辖区外成员，D则把FATF的标准制定职能错配给FSRB。</w:t>
      </w:r>
    </w:p>
    <w:p>
      <w:pPr>
        <w:spacing w:line="360" w:lineRule="auto" w:after="120"/>
      </w:pPr>
      <w:r/>
    </w:p>
    <w:p>
      <w:pPr>
        <w:spacing w:line="360" w:lineRule="auto" w:after="40"/>
      </w:pPr>
      <w:r>
        <w:t>16. Which of the following are included in the 11 Immediate Outcomes outlined in the Financial Action Task Force (FATF) methodology for assessing technical compliance with the FATF Recommendations and the effectiveness of AML/CFT/CPF systems during mutual evaluations? (Select Three.)</w:t>
      </w:r>
    </w:p>
    <w:p>
      <w:pPr>
        <w:spacing w:line="360" w:lineRule="auto" w:after="20"/>
        <w:ind w:firstLine="283"/>
      </w:pPr>
      <w:r>
        <w:t>A. International cooperation provides actionable information to use against criminals.</w:t>
      </w:r>
    </w:p>
    <w:p>
      <w:pPr>
        <w:spacing w:line="360" w:lineRule="auto" w:after="20"/>
        <w:ind w:firstLine="283"/>
      </w:pPr>
      <w:r>
        <w:t>B. Those convicted of money laundering offenses are denied access to basic banking services.</w:t>
      </w:r>
    </w:p>
    <w:p>
      <w:pPr>
        <w:spacing w:line="360" w:lineRule="auto" w:after="20"/>
        <w:ind w:firstLine="283"/>
      </w:pPr>
      <w:r>
        <w:t>C. Money laundering offenses are investigated and criminally prosecuted.</w:t>
      </w:r>
    </w:p>
    <w:p>
      <w:pPr>
        <w:spacing w:line="360" w:lineRule="auto" w:after="20"/>
        <w:ind w:firstLine="283"/>
      </w:pPr>
      <w:r>
        <w:t>D. Financial intelligence information is collected by relevant authorities and shared with FATF for further investigation.</w:t>
      </w:r>
    </w:p>
    <w:p>
      <w:pPr>
        <w:spacing w:line="360" w:lineRule="auto" w:after="20"/>
        <w:ind w:firstLine="283"/>
      </w:pPr>
      <w:r>
        <w:t>E. Supervisors effectively supervise financial institutions and non-bank financial institutions for risk-based AML/CFT implementation.</w:t>
      </w:r>
    </w:p>
    <w:p>
      <w:pPr>
        <w:spacing w:line="360" w:lineRule="auto" w:after="40"/>
      </w:pPr>
      <w:r>
        <w:t>答案：A、C、E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区分FATF 11项直接成果的目标范畴与常见误解</w:t>
      </w:r>
    </w:p>
    <w:p>
      <w:pPr>
        <w:spacing w:before="120" w:after="40"/>
      </w:pPr>
      <w:r>
        <w:rPr>
          <w:b/>
          <w:sz w:val="21"/>
          <w:shd w:fill="D6E4F0" w:val="clear"/>
        </w:rPr>
        <w:t>核心解析：</w:t>
      </w:r>
    </w:p>
    <w:p>
      <w:pPr>
        <w:spacing w:line="360" w:lineRule="auto" w:after="40"/>
        <w:ind w:firstLine="420"/>
      </w:pPr>
      <w:r>
        <w:t>FATF在互评估中使用</w:t>
      </w:r>
      <w:r>
        <w:rPr>
          <w:b/>
        </w:rPr>
        <w:t>11项直接成果（Immediate Outcomes，IO）</w:t>
      </w:r>
      <w:r>
        <w:t>评价一国反洗钱体系的实际成效</w:t>
      </w:r>
      <w:r>
        <w:rPr>
          <w:sz w:val="15"/>
          <w:vertAlign w:val="superscript"/>
        </w:rPr>
        <w:t>P150</w:t>
      </w:r>
      <w:r>
        <w:t>。其中，</w:t>
      </w:r>
      <w:r>
        <w:rPr>
          <w:b/>
        </w:rPr>
        <w:t>IO2</w:t>
      </w:r>
      <w:r>
        <w:t>关注国际合作、情报共享和跨境法律行动，因此对应A项；</w:t>
      </w:r>
      <w:r>
        <w:rPr>
          <w:b/>
        </w:rPr>
        <w:t>IO3</w:t>
      </w:r>
      <w:r>
        <w:t>关注对金融机构和非银行机构的有效监督，因此对应E项；</w:t>
      </w:r>
      <w:r>
        <w:rPr>
          <w:b/>
        </w:rPr>
        <w:t>IO7</w:t>
      </w:r>
      <w:r>
        <w:t>关注洗钱犯罪的调查、起诉和制裁，因此对应C项。三项分别体现跨境合作、监管和司法追责的体系成效。</w:t>
      </w:r>
    </w:p>
    <w:p>
      <w:pPr>
        <w:spacing w:before="120" w:after="40"/>
      </w:pPr>
      <w:r>
        <w:rPr>
          <w:b/>
          <w:sz w:val="21"/>
          <w:shd w:fill="D6E4F0" w:val="clear"/>
        </w:rPr>
        <w:t>教材原句：</w:t>
      </w:r>
    </w:p>
    <w:p>
      <w:pPr>
        <w:spacing w:line="360" w:lineRule="auto" w:after="40"/>
        <w:ind w:firstLine="420"/>
      </w:pPr>
      <w:r>
        <w:t>"FATF measures and rates effectiveness using 11 Immediate Outcomes (IOs), with each IO receiving an effectiveness rating of low, moderate, substantial, or high."</w:t>
      </w:r>
      <w:r>
        <w:rPr>
          <w:sz w:val="15"/>
          <w:vertAlign w:val="superscript"/>
        </w:rPr>
        <w:t>P150</w:t>
      </w:r>
    </w:p>
    <w:p>
      <w:pPr>
        <w:spacing w:before="120" w:after="40"/>
      </w:pPr>
      <w:r>
        <w:rPr>
          <w:b/>
          <w:sz w:val="21"/>
          <w:shd w:fill="D6E4F0" w:val="clear"/>
        </w:rPr>
        <w:t>B项错误：</w:t>
      </w:r>
    </w:p>
    <w:p>
      <w:pPr>
        <w:spacing w:line="360" w:lineRule="auto" w:after="40"/>
        <w:ind w:firstLine="420"/>
      </w:pPr>
      <w:r>
        <w:t>拒绝被定罪者获得基础银行服务属于账户准入或去风险化措施，不能替代IO7所要求的调查、起诉和制裁等司法结果。</w:t>
      </w:r>
    </w:p>
    <w:p>
      <w:pPr>
        <w:spacing w:before="120" w:after="40"/>
      </w:pPr>
      <w:r>
        <w:rPr>
          <w:b/>
          <w:sz w:val="21"/>
          <w:shd w:fill="D6E4F0" w:val="clear"/>
        </w:rPr>
        <w:t>D项错误：</w:t>
      </w:r>
    </w:p>
    <w:p>
      <w:pPr>
        <w:spacing w:line="360" w:lineRule="auto" w:after="40"/>
        <w:ind w:firstLine="420"/>
      </w:pPr>
      <w:r>
        <w:t>金融情报应由主管机关分析并提供给执法部门使用，FIU之间也可通过合作机制进行跨境交换</w:t>
      </w:r>
      <w:r>
        <w:rPr>
          <w:sz w:val="15"/>
          <w:vertAlign w:val="superscript"/>
        </w:rPr>
        <w:t>P200、P167</w:t>
      </w:r>
      <w:r>
        <w:t>。FATF负责制定标准和开展互评，不是接收情报并调查案件的执法机关。</w:t>
      </w:r>
    </w:p>
    <w:p>
      <w:pPr>
        <w:spacing w:before="120" w:after="40"/>
      </w:pPr>
      <w:r>
        <w:rPr>
          <w:b/>
          <w:sz w:val="21"/>
          <w:shd w:fill="D6E4F0" w:val="clear"/>
        </w:rPr>
        <w:t>易错提醒：</w:t>
      </w:r>
    </w:p>
    <w:p>
      <w:pPr>
        <w:spacing w:line="360" w:lineRule="auto" w:after="40"/>
        <w:ind w:firstLine="420"/>
      </w:pPr>
      <w:r>
        <w:t>FATF是制定标准和评估有效性的机构（P150-P152），不直接接收和调查金融情报。金融情报机构（FIU）之间可通过埃格蒙特集团开展情报交换，FIU也会向本国执法机构提供信息</w:t>
      </w:r>
      <w:r>
        <w:rPr>
          <w:sz w:val="15"/>
          <w:vertAlign w:val="superscript"/>
        </w:rPr>
        <w:t>P167、P200</w:t>
      </w:r>
      <w:r>
        <w:t>。应区分</w:t>
      </w:r>
      <w:r>
        <w:rPr>
          <w:b/>
        </w:rPr>
        <w:t>“标准制定者”</w:t>
      </w:r>
      <w:r>
        <w:t>与</w:t>
      </w:r>
      <w:r>
        <w:rPr>
          <w:b/>
        </w:rPr>
        <w:t>“情报接收和使用者”</w:t>
      </w:r>
      <w:r>
        <w:t>的角色。</w:t>
      </w:r>
    </w:p>
    <w:p>
      <w:pPr>
        <w:spacing w:line="360" w:lineRule="auto" w:after="120"/>
      </w:pPr>
      <w:r/>
    </w:p>
    <w:p>
      <w:pPr>
        <w:spacing w:line="360" w:lineRule="auto" w:after="40"/>
      </w:pPr>
      <w:r>
        <w:t>17. Which two statements directly correspond to the 2012 FATF Recommendations on targeted financial sanctions and beneficial ownership transparency? (Select Two.)</w:t>
      </w:r>
    </w:p>
    <w:p>
      <w:pPr>
        <w:spacing w:line="360" w:lineRule="auto" w:after="20"/>
        <w:ind w:firstLine="283"/>
      </w:pPr>
      <w:r>
        <w:t>A. Customer privacy regulations should guide the development of due diligence and other money laundering and terrorist financing preventive measures.</w:t>
      </w:r>
    </w:p>
    <w:p>
      <w:pPr>
        <w:spacing w:line="360" w:lineRule="auto" w:after="20"/>
        <w:ind w:firstLine="283"/>
      </w:pPr>
      <w:r>
        <w:t>B. Nations should work toward implementing targeted financial sanctions in alignment with United Nations Security Council resolutions.</w:t>
      </w:r>
    </w:p>
    <w:p>
      <w:pPr>
        <w:spacing w:line="360" w:lineRule="auto" w:after="20"/>
        <w:ind w:firstLine="283"/>
      </w:pPr>
      <w:r>
        <w:t>C. Nations should take measures to ensure transparency of the beneficial ownership of legal persons.</w:t>
      </w:r>
    </w:p>
    <w:p>
      <w:pPr>
        <w:spacing w:line="360" w:lineRule="auto" w:after="20"/>
        <w:ind w:firstLine="283"/>
      </w:pPr>
      <w:r>
        <w:t>D. Nations must adopt an identical, non-adjustable framework to prevent and combat money laundering and terrorist financing.</w:t>
      </w:r>
    </w:p>
    <w:p>
      <w:pPr>
        <w:spacing w:line="360" w:lineRule="auto" w:after="20"/>
        <w:ind w:firstLine="283"/>
      </w:pPr>
      <w:r>
        <w:t>E. National governments must strive to build a uniform administrative and operational framework to investigate and prosecute crime.</w:t>
      </w:r>
    </w:p>
    <w:p>
      <w:pPr>
        <w:spacing w:line="360" w:lineRule="auto" w:after="20"/>
        <w:ind w:firstLine="283"/>
      </w:pPr>
      <w:r>
        <w:t>F. Supervisors should instruct financial institutions to establish appropriate frameworks to avoid accepting high-risk customers.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辨别FATF 40项建议中的定向金融制裁与受益所有权透明度要求</w:t>
      </w:r>
    </w:p>
    <w:p>
      <w:pPr>
        <w:spacing w:before="120" w:after="40"/>
      </w:pPr>
      <w:r>
        <w:rPr>
          <w:b/>
          <w:sz w:val="21"/>
          <w:shd w:fill="D6E4F0" w:val="clear"/>
        </w:rPr>
        <w:t>核心解析：</w:t>
      </w:r>
    </w:p>
    <w:p>
      <w:pPr>
        <w:spacing w:line="360" w:lineRule="auto" w:after="40"/>
        <w:ind w:firstLine="420"/>
      </w:pPr>
      <w:r>
        <w:t>FATF 40项建议中，B直接对应</w:t>
      </w:r>
      <w:r>
        <w:rPr>
          <w:b/>
        </w:rPr>
        <w:t>建议6关于依照联合国安理会决议实施定向金融制裁</w:t>
      </w:r>
      <w:r>
        <w:t>的要求</w:t>
      </w:r>
      <w:r>
        <w:rPr>
          <w:sz w:val="15"/>
          <w:vertAlign w:val="superscript"/>
        </w:rPr>
        <w:t>P149</w:t>
      </w:r>
      <w:r>
        <w:t>；C直接对应</w:t>
      </w:r>
      <w:r>
        <w:rPr>
          <w:b/>
        </w:rPr>
        <w:t>建议24关于确保法人受益所有权透明度</w:t>
      </w:r>
      <w:r>
        <w:t>的要求</w:t>
      </w:r>
      <w:r>
        <w:rPr>
          <w:sz w:val="15"/>
          <w:vertAlign w:val="superscript"/>
        </w:rPr>
        <w:t>P117</w:t>
      </w:r>
      <w:r>
        <w:t>。题干要求的是分别对应这两个具体主题的两项，因此答案为 B、C。</w:t>
      </w:r>
    </w:p>
    <w:p>
      <w:pPr>
        <w:spacing w:before="120" w:after="40"/>
      </w:pPr>
      <w:r>
        <w:rPr>
          <w:b/>
          <w:sz w:val="21"/>
          <w:shd w:fill="D6E4F0" w:val="clear"/>
        </w:rPr>
        <w:t>教材原句：</w:t>
      </w:r>
    </w:p>
    <w:p>
      <w:pPr>
        <w:spacing w:line="360" w:lineRule="auto" w:after="40"/>
        <w:ind w:firstLine="420"/>
      </w:pPr>
      <w:r>
        <w:t>"Jurisdictions should also implement targeted financial sanctions in compliance with UN Security Council resolutions; this includes freezing the assets of designated persons or entities without delay to combat the financing of terrorism."</w:t>
      </w:r>
      <w:r>
        <w:rPr>
          <w:sz w:val="15"/>
          <w:vertAlign w:val="superscript"/>
        </w:rPr>
        <w:t>P149</w:t>
      </w:r>
    </w:p>
    <w:p>
      <w:pPr>
        <w:spacing w:before="120" w:after="40"/>
      </w:pPr>
      <w:r>
        <w:rPr>
          <w:b/>
          <w:sz w:val="21"/>
          <w:shd w:fill="D6E4F0" w:val="clear"/>
        </w:rPr>
        <w:t>A项错误：</w:t>
      </w:r>
    </w:p>
    <w:p>
      <w:pPr>
        <w:spacing w:line="360" w:lineRule="auto" w:after="40"/>
        <w:ind w:firstLine="420"/>
      </w:pPr>
      <w:r>
        <w:t>客户隐私与反洗钱报告义务之间需要取得平衡，但这不等于由隐私法规主导尽职调查和其他预防措施的制定。B、C则分别直接对应题干点明的定向金融制裁和受益所有权透明度要求。</w:t>
      </w:r>
    </w:p>
    <w:p>
      <w:pPr>
        <w:spacing w:before="120" w:after="40"/>
      </w:pPr>
      <w:r>
        <w:rPr>
          <w:b/>
          <w:sz w:val="21"/>
          <w:shd w:fill="D6E4F0" w:val="clear"/>
        </w:rPr>
        <w:t>D项错误：</w:t>
      </w:r>
    </w:p>
    <w:p>
      <w:pPr>
        <w:spacing w:line="360" w:lineRule="auto" w:after="40"/>
        <w:ind w:firstLine="420"/>
      </w:pPr>
      <w:r>
        <w:t>FATF建议1要求风险为本、与识别风险相称的措施</w:t>
      </w:r>
      <w:r>
        <w:rPr>
          <w:sz w:val="15"/>
          <w:vertAlign w:val="superscript"/>
        </w:rPr>
        <w:t>P147</w:t>
      </w:r>
      <w:r>
        <w:t>，而不是所有国家采用完全相同且不得调整的统一框架；D加入了与风险为本原则相反的绝对化条件。</w:t>
      </w:r>
    </w:p>
    <w:p>
      <w:pPr>
        <w:spacing w:before="120" w:after="40"/>
      </w:pPr>
      <w:r>
        <w:rPr>
          <w:b/>
          <w:sz w:val="21"/>
          <w:shd w:fill="D6E4F0" w:val="clear"/>
        </w:rPr>
        <w:t>E项错误：</w:t>
      </w:r>
    </w:p>
    <w:p>
      <w:pPr>
        <w:spacing w:line="360" w:lineRule="auto" w:after="40"/>
        <w:ind w:firstLine="420"/>
      </w:pPr>
      <w:r>
        <w:t>指定负责机关、建立协调机制与构建“统一的行政和运作框架”并非同一要求；E还转向一般性的犯罪调查和起诉，没有对应题干指定的定向金融制裁或受益所有权透明度。</w:t>
      </w:r>
    </w:p>
    <w:p>
      <w:pPr>
        <w:spacing w:line="360" w:lineRule="auto" w:after="40"/>
        <w:ind w:firstLine="420"/>
      </w:pPr>
      <w:r>
        <w:t>F项错误：风险为本的准入要求对高风险客户进行额外审查，而不是一律避免接纳高风险客户。F把强化风险管理误写成全面拒绝，与风险为本原则不符。</w:t>
      </w:r>
    </w:p>
    <w:p>
      <w:pPr>
        <w:spacing w:before="120" w:after="40"/>
      </w:pPr>
      <w:r>
        <w:rPr>
          <w:b/>
          <w:sz w:val="21"/>
          <w:shd w:fill="D6E4F0" w:val="clear"/>
        </w:rPr>
        <w:t>易错提醒：</w:t>
      </w:r>
    </w:p>
    <w:p>
      <w:pPr>
        <w:spacing w:line="360" w:lineRule="auto" w:after="40"/>
        <w:ind w:firstLine="420"/>
      </w:pPr>
      <w:r>
        <w:t>FATF建议中的风险为本方法是贯穿各项措施的原则</w:t>
      </w:r>
      <w:r>
        <w:rPr>
          <w:sz w:val="15"/>
          <w:vertAlign w:val="superscript"/>
        </w:rPr>
        <w:t>P147</w:t>
      </w:r>
      <w:r>
        <w:t>，而定向金融制裁和受益所有权透明度是独立、强制性的具体建议</w:t>
      </w:r>
      <w:r>
        <w:rPr>
          <w:sz w:val="15"/>
          <w:vertAlign w:val="superscript"/>
        </w:rPr>
        <w:t>P117、P149</w:t>
      </w:r>
      <w:r>
        <w:t>。判断时应优先选择与这两项具体要求直接对应的表述，而非仅体现一般原则的选项。</w:t>
      </w:r>
    </w:p>
    <w:p>
      <w:pPr>
        <w:spacing w:line="360" w:lineRule="auto" w:after="120"/>
      </w:pPr>
      <w:r/>
    </w:p>
    <w:p>
      <w:pPr>
        <w:spacing w:line="360" w:lineRule="auto" w:after="40"/>
      </w:pPr>
      <w:r>
        <w:t>18. The primary objectives of the Financial Action Task Force (FATF) are to: (Choose two.)</w:t>
      </w:r>
    </w:p>
    <w:p>
      <w:pPr>
        <w:spacing w:line="360" w:lineRule="auto" w:after="20"/>
        <w:ind w:firstLine="283"/>
      </w:pPr>
      <w:r>
        <w:t>A. Evaluate and monitor compliance with the FATF standards and provide recommendations for improvement.</w:t>
      </w:r>
    </w:p>
    <w:p>
      <w:pPr>
        <w:spacing w:line="360" w:lineRule="auto" w:after="20"/>
        <w:ind w:firstLine="283"/>
      </w:pPr>
      <w:r>
        <w:t>B. Assist countries in implementing EU, UN, and regional sanctions regimes.</w:t>
      </w:r>
    </w:p>
    <w:p>
      <w:pPr>
        <w:spacing w:line="360" w:lineRule="auto" w:after="20"/>
        <w:ind w:firstLine="283"/>
      </w:pPr>
      <w:r>
        <w:t>C. Develop and promote international standards to prevent money laundering and terrorist financing.</w:t>
      </w:r>
    </w:p>
    <w:p>
      <w:pPr>
        <w:spacing w:line="360" w:lineRule="auto" w:after="20"/>
        <w:ind w:firstLine="283"/>
      </w:pPr>
      <w:r>
        <w:t>D. Conduct investigations into countries' legislation and laws to prevent them from being used for money laundering and terrorist financing.</w:t>
      </w:r>
    </w:p>
    <w:p>
      <w:pPr>
        <w:spacing w:line="360" w:lineRule="auto" w:after="20"/>
        <w:ind w:firstLine="283"/>
      </w:pPr>
      <w:r>
        <w:t>E. Ensure that countries follow its laws to maintain financial stability.</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 FATF 的核心职能：标准制定与合规监督</w:t>
      </w:r>
    </w:p>
    <w:p>
      <w:pPr>
        <w:spacing w:before="120" w:after="40"/>
      </w:pPr>
      <w:r>
        <w:rPr>
          <w:b/>
          <w:sz w:val="21"/>
          <w:shd w:fill="D6E4F0" w:val="clear"/>
        </w:rPr>
        <w:t>核心解析：</w:t>
      </w:r>
    </w:p>
    <w:p>
      <w:pPr>
        <w:spacing w:line="360" w:lineRule="auto" w:after="40"/>
        <w:ind w:firstLine="420"/>
      </w:pPr>
      <w:r>
        <w:t>教材指出国际机构会</w:t>
      </w:r>
      <w:r>
        <w:rPr>
          <w:b/>
        </w:rPr>
        <w:t>制定标准以协调金融犯罪防控措施</w:t>
      </w:r>
      <w:r>
        <w:rPr>
          <w:sz w:val="15"/>
          <w:vertAlign w:val="superscript"/>
        </w:rPr>
        <w:t>P142</w:t>
      </w:r>
      <w:r>
        <w:t>，且“9/11 后 FATF 将使命扩展至打击恐怖融资”</w:t>
      </w:r>
      <w:r>
        <w:rPr>
          <w:sz w:val="15"/>
          <w:vertAlign w:val="superscript"/>
        </w:rPr>
        <w:t>P144</w:t>
      </w:r>
      <w:r>
        <w:t>，可见“</w:t>
      </w:r>
      <w:r>
        <w:rPr>
          <w:b/>
        </w:rPr>
        <w:t>制定并推广国际标准以防范洗钱和恐怖主义融资</w:t>
      </w:r>
      <w:r>
        <w:t>”是 FATF 的核心职责——选项 C 直接命中。同时教材明确列出 FATF 的工作方式之一是</w:t>
      </w:r>
      <w:r>
        <w:rPr>
          <w:b/>
        </w:rPr>
        <w:t>“评估实施情况”</w:t>
      </w:r>
      <w:r>
        <w:t>：FATF 定期开展正式评估，判断各司法管辖区是否全面有效地实施其标准，若发现缺陷则制定并监控行动计划并公开报告进展</w:t>
      </w:r>
      <w:r>
        <w:rPr>
          <w:sz w:val="15"/>
          <w:vertAlign w:val="superscript"/>
        </w:rPr>
        <w:t>P144</w:t>
      </w:r>
      <w:r>
        <w:t>。这一描述与选项 A“评估并监督对 FATF 标准的遵守情况，并提出改进建议”高度吻合。两个选项合在一起，完整覆盖了 FATF 的</w:t>
      </w:r>
      <w:r>
        <w:rPr>
          <w:b/>
        </w:rPr>
        <w:t>“立标准”与“查落实”</w:t>
      </w:r>
      <w:r>
        <w:t>两大主线。</w:t>
      </w:r>
    </w:p>
    <w:p>
      <w:pPr>
        <w:spacing w:before="120" w:after="40"/>
      </w:pPr>
      <w:r>
        <w:rPr>
          <w:b/>
          <w:sz w:val="21"/>
          <w:shd w:fill="D6E4F0" w:val="clear"/>
        </w:rPr>
        <w:t>B项错误：</w:t>
      </w:r>
    </w:p>
    <w:p>
      <w:pPr>
        <w:spacing w:line="360" w:lineRule="auto" w:after="40"/>
        <w:ind w:firstLine="420"/>
      </w:pPr>
      <w:r>
        <w:t>选项 B 的核心动作为“协助执行制裁制度”，而教材中执行欧盟、联合国制裁的主体是各成员国或金融机构自身（P206, P374），FATF 的工作重心是设定自身的 40 项建议标准而非充当制裁执行助手。题干更直接匹配 FATF 的“标准制定”职能而非“制裁协助”职能。</w:t>
      </w:r>
    </w:p>
    <w:p>
      <w:pPr>
        <w:spacing w:before="120" w:after="40"/>
      </w:pPr>
      <w:r>
        <w:rPr>
          <w:b/>
          <w:sz w:val="21"/>
          <w:shd w:fill="D6E4F0" w:val="clear"/>
        </w:rPr>
        <w:t>D项错误：</w:t>
      </w:r>
    </w:p>
    <w:p>
      <w:pPr>
        <w:spacing w:line="360" w:lineRule="auto" w:after="40"/>
        <w:ind w:firstLine="420"/>
      </w:pPr>
      <w:r>
        <w:t>选项 D 使用“对各国的立法和法律进行调查”，而教材对 FATF 的描述是“评估实施情况”“分析法律和监管框架”（P144, P153），评估与分析不等于调查——FATF 无权也无意对各国的立法进行司法性质的“调查”。题干更吻合 FATF“基于标准的合规评估”角色。</w:t>
      </w:r>
    </w:p>
    <w:p>
      <w:pPr>
        <w:spacing w:before="120" w:after="40"/>
      </w:pPr>
      <w:r>
        <w:rPr>
          <w:b/>
          <w:sz w:val="21"/>
          <w:shd w:fill="D6E4F0" w:val="clear"/>
        </w:rPr>
        <w:t>E项错误：</w:t>
      </w:r>
    </w:p>
    <w:p>
      <w:pPr>
        <w:spacing w:line="360" w:lineRule="auto" w:after="40"/>
        <w:ind w:firstLine="420"/>
      </w:pPr>
      <w:r>
        <w:t>选项 E 的表述是“确保各国遵守其法律以维持金融稳定”，但教材中“维持金融稳定”是美国金融监管机构（OCC、FRS、FDIC 等）的目标</w:t>
      </w:r>
      <w:r>
        <w:rPr>
          <w:sz w:val="15"/>
          <w:vertAlign w:val="superscript"/>
        </w:rPr>
        <w:t>P185</w:t>
      </w:r>
      <w:r>
        <w:t>，且 FATF 关注的是各国对 FATF 标准的遵守，而非各国自身国内法的执行。主体与目标双重不匹配，不如 A、C 直接体现 FATF 的定位。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