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Which statement regarding data privacy is the most accurate in the context of AML investigations?</w:t>
      </w:r>
    </w:p>
    <w:p>
      <w:pPr>
        <w:spacing w:line="360" w:lineRule="auto" w:after="20"/>
        <w:ind w:firstLine="283"/>
      </w:pPr>
      <w:r>
        <w:t>A. Organizations are required to demonstrate that customers have opted into information sharing before submitting suspicious activity reports to relevant Financial Intelligence Units (FIUs)</w:t>
      </w:r>
    </w:p>
    <w:p>
      <w:pPr>
        <w:spacing w:line="360" w:lineRule="auto" w:after="20"/>
        <w:ind w:firstLine="283"/>
      </w:pPr>
      <w:r>
        <w:t>B. Any customer that is the subject of a suspicious report filing has the right to request redaction of their personal data</w:t>
      </w:r>
    </w:p>
    <w:p>
      <w:pPr>
        <w:spacing w:line="360" w:lineRule="auto" w:after="20"/>
        <w:ind w:firstLine="283"/>
      </w:pPr>
      <w:r>
        <w:t>C. FIUs should document purposes for which personal data included in suspicious activity reports may be shared with other agencies</w:t>
      </w:r>
    </w:p>
    <w:p>
      <w:pPr>
        <w:spacing w:line="360" w:lineRule="auto" w:after="20"/>
        <w:ind w:firstLine="283"/>
      </w:pPr>
      <w:r>
        <w:t>D. Data privacy laws prohibit financial institutions from sharing information for AML investigation purposes in all jurisdictions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AML信息共享中的合法目的、透明度与数据主体权利限制</w:t>
      </w:r>
    </w:p>
    <w:p>
      <w:pPr>
        <w:spacing w:before="120" w:after="40"/>
      </w:pPr>
      <w:r>
        <w:rPr>
          <w:b/>
          <w:sz w:val="21"/>
          <w:shd w:fill="D6E4F0" w:val="clear"/>
        </w:rPr>
        <w:t>核心解析：</w:t>
      </w:r>
    </w:p>
    <w:p>
      <w:pPr>
        <w:spacing w:line="360" w:lineRule="auto" w:after="40"/>
        <w:ind w:firstLine="420"/>
      </w:pPr>
      <w:r>
        <w:t>教材关于数据隐私的基本原则是：客户数据应安全保存，只能与</w:t>
      </w:r>
      <w:r>
        <w:rPr>
          <w:b/>
        </w:rPr>
        <w:t>有必要知悉且有权限的人共享</w:t>
      </w:r>
      <w:r>
        <w:rPr>
          <w:sz w:val="15"/>
          <w:vertAlign w:val="superscript"/>
        </w:rPr>
        <w:t>P209</w:t>
      </w:r>
      <w:r>
        <w:t>；很多司法管辖区也禁止将为一个目的收集的数据转作其他目的使用</w:t>
      </w:r>
      <w:r>
        <w:rPr>
          <w:sz w:val="15"/>
          <w:vertAlign w:val="superscript"/>
        </w:rPr>
        <w:t>P209</w:t>
      </w:r>
      <w:r>
        <w:t>。这说明，在AML调查中共享个人数据并非完全禁止，但必须有</w:t>
      </w:r>
      <w:r>
        <w:rPr>
          <w:b/>
        </w:rPr>
        <w:t>明确、合法且可说明的处理目的</w:t>
      </w:r>
      <w:r>
        <w:t>。</w:t>
      </w:r>
    </w:p>
    <w:p>
      <w:pPr>
        <w:spacing w:line="360" w:lineRule="auto" w:after="40"/>
        <w:ind w:firstLine="420"/>
      </w:pPr>
      <w:r>
        <w:t>GDPR进一步要求组织告知数据主体其个人数据为何以及如何被使用</w:t>
      </w:r>
      <w:r>
        <w:rPr>
          <w:sz w:val="15"/>
          <w:vertAlign w:val="superscript"/>
        </w:rPr>
        <w:t>P213</w:t>
      </w:r>
      <w:r>
        <w:t>。同时，欧盟第2024/1624号条例允许在AML合规目的下共享或处理相关个人信息</w:t>
      </w:r>
      <w:r>
        <w:rPr>
          <w:sz w:val="15"/>
          <w:vertAlign w:val="superscript"/>
        </w:rPr>
        <w:t>P213</w:t>
      </w:r>
      <w:r>
        <w:t>，FATF建议也要求金融机构促进为AML/CFT目的的信息共享</w:t>
      </w:r>
      <w:r>
        <w:rPr>
          <w:sz w:val="15"/>
          <w:vertAlign w:val="superscript"/>
        </w:rPr>
        <w:t>P148</w:t>
      </w:r>
      <w:r>
        <w:t>。在给定选项中，C项最能体现</w:t>
      </w:r>
      <w:r>
        <w:rPr>
          <w:b/>
        </w:rPr>
        <w:t>目的限制、透明度和合法AML信息共享之间的平衡</w:t>
      </w:r>
      <w:r>
        <w:t>。不过，目的限制和透明度原则不能自动推出所有FIU都负有完全相同的记录义务；具体记录要求仍取决于适用法律和制度。</w:t>
      </w:r>
    </w:p>
    <w:p>
      <w:pPr>
        <w:spacing w:before="120" w:after="40"/>
      </w:pPr>
      <w:r>
        <w:rPr>
          <w:b/>
          <w:sz w:val="21"/>
          <w:shd w:fill="D6E4F0" w:val="clear"/>
        </w:rPr>
        <w:t>教材原句：</w:t>
      </w:r>
    </w:p>
    <w:p>
      <w:pPr>
        <w:spacing w:line="360" w:lineRule="auto" w:after="40"/>
        <w:ind w:firstLine="420"/>
      </w:pPr>
      <w:r>
        <w:t>"The GDPR requires organizations to inform data subjects about why and how the organization will use their personal data."</w:t>
      </w:r>
    </w:p>
    <w:p>
      <w:pPr>
        <w:spacing w:before="120" w:after="40"/>
      </w:pPr>
      <w:r>
        <w:rPr>
          <w:b/>
          <w:sz w:val="21"/>
          <w:shd w:fill="D6E4F0" w:val="clear"/>
        </w:rPr>
        <w:t>A项错误：</w:t>
      </w:r>
    </w:p>
    <w:p>
      <w:pPr>
        <w:spacing w:line="360" w:lineRule="auto" w:after="40"/>
        <w:ind w:firstLine="420"/>
      </w:pPr>
      <w:r>
        <w:t>提交SAR通常基于法定反洗钱义务，不以客户“选择加入”或同意为前提。处理个人数据的合法依据不限于同意，履行法定义务本身可以构成独立依据；否则，要求先征得被报告客户同意还可能妨碍调查并造成通风报信风险。</w:t>
      </w:r>
    </w:p>
    <w:p>
      <w:pPr>
        <w:spacing w:before="120" w:after="40"/>
      </w:pPr>
      <w:r>
        <w:rPr>
          <w:b/>
          <w:sz w:val="21"/>
          <w:shd w:fill="D6E4F0" w:val="clear"/>
        </w:rPr>
        <w:t>B项错误：</w:t>
      </w:r>
    </w:p>
    <w:p>
      <w:pPr>
        <w:spacing w:line="360" w:lineRule="auto" w:after="40"/>
        <w:ind w:firstLine="420"/>
      </w:pPr>
      <w:r>
        <w:t>教材明确说明数据主体权利并非绝对，反洗钱法中的“泄密”罪限制了向数据主体披露处理活动细节的程度</w:t>
      </w:r>
      <w:r>
        <w:rPr>
          <w:sz w:val="15"/>
          <w:vertAlign w:val="superscript"/>
        </w:rPr>
        <w:t>P213</w:t>
      </w:r>
      <w:r>
        <w:t>。成为SAR对象的客户要求删除数据，将与反洗钱调查义务产生直接冲突。题干支持隐私权在此受到反洗钱义务限制的框架，而非赋予客户绝对删除权。</w:t>
      </w:r>
    </w:p>
    <w:p>
      <w:pPr>
        <w:spacing w:before="120" w:after="40"/>
      </w:pPr>
      <w:r>
        <w:rPr>
          <w:b/>
          <w:sz w:val="21"/>
          <w:shd w:fill="D6E4F0" w:val="clear"/>
        </w:rPr>
        <w:t>D项错误：教材多处说明反洗钱框架下允许信息共享：</w:t>
      </w:r>
    </w:p>
    <w:p>
      <w:pPr>
        <w:spacing w:line="360" w:lineRule="auto" w:after="40"/>
        <w:ind w:firstLine="420"/>
      </w:pPr>
      <w:r>
        <w:t>FATF建议要求金融机构促进为反洗钱目的的信息共享</w:t>
      </w:r>
      <w:r>
        <w:rPr>
          <w:sz w:val="15"/>
          <w:vertAlign w:val="superscript"/>
        </w:rPr>
        <w:t>P148</w:t>
      </w:r>
      <w:r>
        <w:t>，欧盟法规也规定了为反洗钱合规目的共享个人信息的“允许情形”（permissible instances）P213。“在所有司法管辖区禁止”过于绝对，与教材中“有限制但允许”的框架不匹配。</w:t>
      </w:r>
    </w:p>
    <w:p>
      <w:pPr>
        <w:spacing w:before="120" w:after="40"/>
      </w:pPr>
      <w:r>
        <w:rPr>
          <w:b/>
          <w:sz w:val="21"/>
          <w:shd w:fill="D6E4F0" w:val="clear"/>
        </w:rPr>
        <w:t>易错提醒：</w:t>
      </w:r>
    </w:p>
    <w:p>
      <w:pPr>
        <w:spacing w:line="360" w:lineRule="auto" w:after="40"/>
        <w:ind w:firstLine="420"/>
      </w:pPr>
      <w:r>
        <w:t>数据隐私法不是AML信息共享的绝对障碍，也不意味着提交SAR前必须征得客户同意。正确理解是：在合法AML目的下可以共享和处理相关个人信息，但必须受到目的限制、透明度、权限控制以及反泄密规则的共同约束。</w:t>
      </w:r>
    </w:p>
    <w:p>
      <w:pPr>
        <w:spacing w:line="360" w:lineRule="auto" w:after="120"/>
      </w:pPr>
      <w:r/>
    </w:p>
    <w:p>
      <w:pPr>
        <w:spacing w:line="360" w:lineRule="auto" w:after="40"/>
      </w:pPr>
      <w:r>
        <w:t>2. An AML/CFT unit often compiles information about customer activity and product usage that might be of interest to other parts of the organization. Before allowing the unit to communicate such information internally, the organization must review:</w:t>
      </w:r>
    </w:p>
    <w:p>
      <w:pPr>
        <w:spacing w:line="360" w:lineRule="auto" w:after="20"/>
        <w:ind w:firstLine="283"/>
      </w:pPr>
      <w:r>
        <w:t>A. Enterprise-wide risk assessments and the employee handbook for any limitations on sharing commercially sensitive customer data</w:t>
      </w:r>
    </w:p>
    <w:p>
      <w:pPr>
        <w:spacing w:line="360" w:lineRule="auto" w:after="20"/>
        <w:ind w:firstLine="283"/>
      </w:pPr>
      <w:r>
        <w:t>B. The risk rating of the customers to avoid sharing data relating to higher-risk customers</w:t>
      </w:r>
    </w:p>
    <w:p>
      <w:pPr>
        <w:spacing w:line="360" w:lineRule="auto" w:after="20"/>
        <w:ind w:firstLine="283"/>
      </w:pPr>
      <w:r>
        <w:t>C. The organization's AML compliance policies to ensure that customer data can be easily shared internally and internationally</w:t>
      </w:r>
    </w:p>
    <w:p>
      <w:pPr>
        <w:spacing w:line="360" w:lineRule="auto" w:after="20"/>
        <w:ind w:firstLine="283"/>
      </w:pPr>
      <w:r>
        <w:t>D. Applicable data privacy laws in relevant jurisdictions and the organization's data security and privacy policies for any limitations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内部共享客户数据前对法律、权限和机构政策限制的审查</w:t>
      </w:r>
    </w:p>
    <w:p>
      <w:pPr>
        <w:spacing w:before="120" w:after="40"/>
      </w:pPr>
      <w:r>
        <w:rPr>
          <w:b/>
          <w:sz w:val="21"/>
          <w:shd w:fill="D6E4F0" w:val="clear"/>
        </w:rPr>
        <w:t>核心解析：</w:t>
      </w:r>
    </w:p>
    <w:p>
      <w:pPr>
        <w:spacing w:line="360" w:lineRule="auto" w:after="40"/>
        <w:ind w:firstLine="420"/>
      </w:pPr>
      <w:r>
        <w:t>题干中的客户活动和产品使用信息属于受保护的客户数据。教材指出，金融机构对客户数据的安全和隐私负有高度注意义务，并且通常承担相应法律义务</w:t>
      </w:r>
      <w:r>
        <w:rPr>
          <w:sz w:val="15"/>
          <w:vertAlign w:val="superscript"/>
        </w:rPr>
        <w:t>P209</w:t>
      </w:r>
      <w:r>
        <w:t>；客户数据只能向</w:t>
      </w:r>
      <w:r>
        <w:rPr>
          <w:b/>
        </w:rPr>
        <w:t>确有知悉需要、并具有相应许可和查看权限的人员共享</w:t>
      </w:r>
      <w:r>
        <w:rPr>
          <w:sz w:val="15"/>
          <w:vertAlign w:val="superscript"/>
        </w:rPr>
        <w:t>P209</w:t>
      </w:r>
      <w:r>
        <w:t>。教材还说明，许多司法管辖区禁止将为某一目的收集的数据擅自用于其他目的，组织也应制定数据分类、保存和销毁政策</w:t>
      </w:r>
      <w:r>
        <w:rPr>
          <w:sz w:val="15"/>
          <w:vertAlign w:val="superscript"/>
        </w:rPr>
        <w:t>P209</w:t>
      </w:r>
      <w:r>
        <w:t>。因此，在允许反洗钱/打击资助恐怖主义部门向组织其他部门传达客户信息前，组织必须审查适用的数据隐私法律以及自身数据安全和隐私政策规定的共享权限与限制。选项D同时覆盖外部法律和内部政策两个层面，最完整地对应教材要求。</w:t>
      </w:r>
    </w:p>
    <w:p>
      <w:pPr>
        <w:spacing w:before="120" w:after="40"/>
      </w:pPr>
      <w:r>
        <w:rPr>
          <w:b/>
          <w:sz w:val="21"/>
          <w:shd w:fill="D6E4F0" w:val="clear"/>
        </w:rPr>
        <w:t>教材原句：</w:t>
      </w:r>
    </w:p>
    <w:p>
      <w:pPr>
        <w:spacing w:line="360" w:lineRule="auto" w:after="40"/>
        <w:ind w:firstLine="420"/>
      </w:pPr>
      <w:r>
        <w:t>"Your customer data must be stored securely and should only be shared with others who need to know and have the requisite permission and authority to view it."</w:t>
      </w:r>
    </w:p>
    <w:p>
      <w:pPr>
        <w:spacing w:before="120" w:after="40"/>
      </w:pPr>
      <w:r>
        <w:rPr>
          <w:b/>
          <w:sz w:val="21"/>
          <w:shd w:fill="D6E4F0" w:val="clear"/>
        </w:rPr>
        <w:t>A项错误：</w:t>
      </w:r>
    </w:p>
    <w:p>
      <w:pPr>
        <w:spacing w:line="360" w:lineRule="auto" w:after="40"/>
        <w:ind w:firstLine="420"/>
      </w:pPr>
      <w:r>
        <w:t>企业范围风险评估用于系统识别和评估机构各项业务面临的洗钱和恐怖融资风险</w:t>
      </w:r>
      <w:r>
        <w:rPr>
          <w:sz w:val="15"/>
          <w:vertAlign w:val="superscript"/>
        </w:rPr>
        <w:t>P158</w:t>
      </w:r>
      <w:r>
        <w:t>，并不是决定客户数据能否在内部共享的直接依据。员工手册也不能替代适用的数据隐私法律和专门的数据安全与隐私政策。A既遗漏外部法律要求，也没有准确指向客户数据共享的授权和权限限制。</w:t>
      </w:r>
    </w:p>
    <w:p>
      <w:pPr>
        <w:spacing w:before="120" w:after="40"/>
      </w:pPr>
      <w:r>
        <w:rPr>
          <w:b/>
          <w:sz w:val="21"/>
          <w:shd w:fill="D6E4F0" w:val="clear"/>
        </w:rPr>
        <w:t>B项错误：</w:t>
      </w:r>
    </w:p>
    <w:p>
      <w:pPr>
        <w:spacing w:line="360" w:lineRule="auto" w:after="40"/>
        <w:ind w:firstLine="420"/>
      </w:pPr>
      <w:r>
        <w:t>教材指出，高风险客户可能需要接受强化尽职调查和加强监控</w:t>
      </w:r>
      <w:r>
        <w:rPr>
          <w:sz w:val="15"/>
          <w:vertAlign w:val="superscript"/>
        </w:rPr>
        <w:t>P270</w:t>
      </w:r>
      <w:r>
        <w:t>。客户风险评级决定的是尽调、监控以及客户资料更新的强度，而不是为了避免分享而排除高风险客户的数据。是否可以共享仍取决于知悉需要、授权权限、适用法律和机构政策。</w:t>
      </w:r>
    </w:p>
    <w:p>
      <w:pPr>
        <w:spacing w:before="120" w:after="40"/>
      </w:pPr>
      <w:r>
        <w:rPr>
          <w:b/>
          <w:sz w:val="21"/>
          <w:shd w:fill="D6E4F0" w:val="clear"/>
        </w:rPr>
        <w:t>C项错误：</w:t>
      </w:r>
    </w:p>
    <w:p>
      <w:pPr>
        <w:spacing w:line="360" w:lineRule="auto" w:after="40"/>
        <w:ind w:firstLine="420"/>
      </w:pPr>
      <w:r>
        <w:t>教材要求客户数据只能向确有知悉需要且获授权的人员共享</w:t>
      </w:r>
      <w:r>
        <w:rPr>
          <w:sz w:val="15"/>
          <w:vertAlign w:val="superscript"/>
        </w:rPr>
        <w:t>P209</w:t>
      </w:r>
      <w:r>
        <w:t>，数据隐私法还可能对个人数据的跨境传输施加条件</w:t>
      </w:r>
      <w:r>
        <w:rPr>
          <w:sz w:val="15"/>
          <w:vertAlign w:val="superscript"/>
        </w:rPr>
        <w:t>P209</w:t>
      </w:r>
      <w:r>
        <w:t>。审查的目的不是确保数据能够在组织内部及跨境“轻松共享”，而是确认共享是否合法、必要并符合权限及政策限制。</w:t>
      </w:r>
    </w:p>
    <w:p>
      <w:pPr>
        <w:spacing w:before="120" w:after="40"/>
      </w:pPr>
      <w:r>
        <w:rPr>
          <w:b/>
          <w:sz w:val="21"/>
          <w:shd w:fill="D6E4F0" w:val="clear"/>
        </w:rPr>
        <w:t>易错提醒：</w:t>
      </w:r>
    </w:p>
    <w:p>
      <w:pPr>
        <w:spacing w:line="360" w:lineRule="auto" w:after="40"/>
        <w:ind w:firstLine="420"/>
      </w:pPr>
      <w:r>
        <w:t>信息具有反洗钱用途，不等于可以在组织内部自由流通。判断本题时应区分两个问题：客户风险评级决定尽调和监控力度；数据隐私法律、知悉需要、访问权限以及机构数据政策决定信息能否共享。题干问的是后者，因此应选择同时涵盖外部法律和内部政策限制的D。</w:t>
      </w:r>
    </w:p>
    <w:p>
      <w:pPr>
        <w:spacing w:line="360" w:lineRule="auto" w:after="120"/>
      </w:pPr>
      <w:r/>
    </w:p>
    <w:p>
      <w:pPr>
        <w:spacing w:line="360" w:lineRule="auto" w:after="40"/>
      </w:pPr>
      <w:r>
        <w:t>3. Which principle about safeguarding privacy and data should an auditor adhere to when performing an AML investigation?</w:t>
      </w:r>
    </w:p>
    <w:p>
      <w:pPr>
        <w:spacing w:line="360" w:lineRule="auto" w:after="20"/>
        <w:ind w:firstLine="283"/>
      </w:pPr>
      <w:r>
        <w:t>A. AML and data protection privacy laws should not be mutually exclusive</w:t>
      </w:r>
    </w:p>
    <w:p>
      <w:pPr>
        <w:spacing w:line="360" w:lineRule="auto" w:after="20"/>
        <w:ind w:firstLine="283"/>
      </w:pPr>
      <w:r>
        <w:t>B. During evidence gathering, privacy laws are less important than local AML laws</w:t>
      </w:r>
    </w:p>
    <w:p>
      <w:pPr>
        <w:spacing w:line="360" w:lineRule="auto" w:after="20"/>
        <w:ind w:firstLine="283"/>
      </w:pPr>
      <w:r>
        <w:t>C. Terrorist financing is more relevant in the context of data protection and supersedes laws</w:t>
      </w:r>
    </w:p>
    <w:p>
      <w:pPr>
        <w:spacing w:line="360" w:lineRule="auto" w:after="20"/>
        <w:ind w:firstLine="283"/>
      </w:pPr>
      <w:r>
        <w:t>D. Countries should clarify where AML and data protection privacy laws are not balanced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反洗钱义务与个人数据隐私保护并非互斥，须同时遵从</w:t>
      </w:r>
    </w:p>
    <w:p>
      <w:pPr>
        <w:spacing w:before="120" w:after="40"/>
      </w:pPr>
      <w:r>
        <w:rPr>
          <w:b/>
          <w:sz w:val="21"/>
          <w:shd w:fill="D6E4F0" w:val="clear"/>
        </w:rPr>
        <w:t>核心解析：</w:t>
      </w:r>
    </w:p>
    <w:p>
      <w:pPr>
        <w:spacing w:line="360" w:lineRule="auto" w:after="40"/>
        <w:ind w:firstLine="420"/>
      </w:pPr>
      <w:r>
        <w:t>组织必须</w:t>
      </w:r>
      <w:r>
        <w:rPr>
          <w:b/>
        </w:rPr>
        <w:t>同时遵守反洗钱义务和《通用数据保护条例》</w:t>
      </w:r>
      <w:r>
        <w:rPr>
          <w:sz w:val="15"/>
          <w:vertAlign w:val="superscript"/>
        </w:rPr>
        <w:t>P212</w:t>
      </w:r>
      <w:r>
        <w:t>；处理客户身份数据以履行反洗钱/反恐怖融资要求时，也必须兼顾数据保护要求</w:t>
      </w:r>
      <w:r>
        <w:rPr>
          <w:sz w:val="15"/>
          <w:vertAlign w:val="superscript"/>
        </w:rPr>
        <w:t>P263</w:t>
      </w:r>
      <w:r>
        <w:t>。因此，两类法律并非二选一。审计员开展反洗钱调查时，既不能因调查目的而忽视隐私法，也不能让隐私要求完全阻止调查，而应兼顾两方面的法律义务。选项A所说的“不应相互排斥”最符合这一原则。该原则同样适用于特定非金融行业处理客户隐私与反洗钱报告要求的情形，以及金融犯罪防控专业人员平衡有效检测与数据隐私义务的情形。</w:t>
      </w:r>
    </w:p>
    <w:p>
      <w:pPr>
        <w:spacing w:before="120" w:after="40"/>
      </w:pPr>
      <w:r>
        <w:rPr>
          <w:b/>
          <w:sz w:val="21"/>
          <w:shd w:fill="D6E4F0" w:val="clear"/>
        </w:rPr>
        <w:t>教材原句：</w:t>
      </w:r>
    </w:p>
    <w:p>
      <w:pPr>
        <w:spacing w:line="360" w:lineRule="auto" w:after="40"/>
        <w:ind w:firstLine="420"/>
      </w:pPr>
      <w:r>
        <w:t>"Therefore, organizations must adhere to AML obligations and the GDPR."</w:t>
      </w:r>
    </w:p>
    <w:p>
      <w:pPr>
        <w:spacing w:before="120" w:after="40"/>
      </w:pPr>
      <w:r>
        <w:rPr>
          <w:b/>
          <w:sz w:val="21"/>
          <w:shd w:fill="D6E4F0" w:val="clear"/>
        </w:rPr>
        <w:t>B项错误：</w:t>
      </w:r>
    </w:p>
    <w:p>
      <w:pPr>
        <w:spacing w:line="360" w:lineRule="auto" w:after="40"/>
        <w:ind w:firstLine="420"/>
      </w:pPr>
      <w:r>
        <w:t>反洗钱义务与隐私义务需要相互兼顾，而不是比较哪一方更重要。隐私团队还会协助第二道防线起草数据保护影响评估，并就个人数据处理提供建议</w:t>
      </w:r>
      <w:r>
        <w:rPr>
          <w:sz w:val="15"/>
          <w:vertAlign w:val="superscript"/>
        </w:rPr>
        <w:t>P263</w:t>
      </w:r>
      <w:r>
        <w:t>。选项B将两类法律作高低排序，与二者并行适用的原则不一致。</w:t>
      </w:r>
    </w:p>
    <w:p>
      <w:pPr>
        <w:spacing w:before="120" w:after="40"/>
      </w:pPr>
      <w:r>
        <w:rPr>
          <w:b/>
          <w:sz w:val="21"/>
          <w:shd w:fill="D6E4F0" w:val="clear"/>
        </w:rPr>
        <w:t>C项错误：</w:t>
      </w:r>
    </w:p>
    <w:p>
      <w:pPr>
        <w:spacing w:line="360" w:lineRule="auto" w:after="40"/>
        <w:ind w:firstLine="420"/>
      </w:pPr>
      <w:r>
        <w:t>教材将恐怖主义融资列为FATF指定的上游犯罪之一，也将其纳入反洗钱法的战略优先事项，但这并不意味着恐怖主义融资可以“凌驾于法律之上”。教材在GDPR章节强调反洗钱义务与数据保护需同时遵守</w:t>
      </w:r>
      <w:r>
        <w:rPr>
          <w:sz w:val="15"/>
          <w:vertAlign w:val="superscript"/>
        </w:rPr>
        <w:t>P212</w:t>
      </w:r>
      <w:r>
        <w:t>，而非任何犯罪类型可以使某一法域高于另一法域。选项C错误地把恐怖主义融资置于适用法律之上。</w:t>
      </w:r>
    </w:p>
    <w:p>
      <w:pPr>
        <w:spacing w:before="120" w:after="40"/>
      </w:pPr>
      <w:r>
        <w:rPr>
          <w:b/>
          <w:sz w:val="21"/>
          <w:shd w:fill="D6E4F0" w:val="clear"/>
        </w:rPr>
        <w:t>D项错误：</w:t>
      </w:r>
    </w:p>
    <w:p>
      <w:pPr>
        <w:spacing w:line="360" w:lineRule="auto" w:after="40"/>
        <w:ind w:firstLine="420"/>
      </w:pPr>
      <w:r>
        <w:t>题干询问审计员在调查中应遵循的原则，重点是组织在实践中兼顾两类要求，并同时遵守反洗钱义务和GDPR</w:t>
      </w:r>
      <w:r>
        <w:rPr>
          <w:sz w:val="15"/>
          <w:vertAlign w:val="superscript"/>
        </w:rPr>
        <w:t>P212、P263</w:t>
      </w:r>
      <w:r>
        <w:t>。选项D却转向各国应如何明确法律之间的不平衡之处，既改变了义务主体，也没有直接回答审计员应如何行动。</w:t>
      </w:r>
    </w:p>
    <w:p>
      <w:pPr>
        <w:spacing w:before="120" w:after="40"/>
      </w:pPr>
      <w:r>
        <w:rPr>
          <w:b/>
          <w:sz w:val="21"/>
          <w:shd w:fill="D6E4F0" w:val="clear"/>
        </w:rPr>
        <w:t>易错提醒：</w:t>
      </w:r>
    </w:p>
    <w:p>
      <w:pPr>
        <w:spacing w:line="360" w:lineRule="auto" w:after="40"/>
        <w:ind w:firstLine="420"/>
      </w:pPr>
      <w:r>
        <w:t>容易混淆“平衡两类要求”与“明确哪些地方不平衡”。前者要求组织在实践中同时履行两方面义务</w:t>
      </w:r>
      <w:r>
        <w:rPr>
          <w:sz w:val="15"/>
          <w:vertAlign w:val="superscript"/>
        </w:rPr>
        <w:t>P263</w:t>
      </w:r>
      <w:r>
        <w:t>；后者只是识别不一致之处，并不能回答审计员应遵循什么原则。原文中的“balance both requirements”强调的是兼顾，而不是确认二者存在不平衡。</w:t>
      </w:r>
    </w:p>
    <w:p>
      <w:pPr>
        <w:spacing w:line="360" w:lineRule="auto" w:after="120"/>
      </w:pPr>
      <w:r/>
    </w:p>
    <w:p>
      <w:pPr>
        <w:spacing w:line="360" w:lineRule="auto" w:after="40"/>
      </w:pPr>
      <w:r>
        <w:t>4. An international bank is headquartered in Madrid, Spain, with an office in New York City (NYC), US. The Madrid office is investigating a transaction originating from a customer of the NYC office and inquires whether the NYC office can share any relevant further information on the individual. Upon further research, the NYC office finds that they have filed a suspicious activity report (SAR) on the individual in the previous year. Which factors need to be considered before sharing the requested information? (Select two.)</w:t>
      </w:r>
    </w:p>
    <w:p>
      <w:pPr>
        <w:spacing w:line="360" w:lineRule="auto" w:after="20"/>
        <w:ind w:firstLine="283"/>
      </w:pPr>
      <w:r>
        <w:t>A. The foreign bank must always request approval by its national anti-financial crime authority to share any information cross-border.</w:t>
      </w:r>
    </w:p>
    <w:p>
      <w:pPr>
        <w:spacing w:line="360" w:lineRule="auto" w:after="20"/>
        <w:ind w:firstLine="283"/>
      </w:pPr>
      <w:r>
        <w:t>B. The bank should report this to the Financial Crimes Enforcement Network (FinCEN) and receive formal guidance before sharing the information.</w:t>
      </w:r>
    </w:p>
    <w:p>
      <w:pPr>
        <w:spacing w:line="360" w:lineRule="auto" w:after="20"/>
        <w:ind w:firstLine="283"/>
      </w:pPr>
      <w:r>
        <w:t>C. The bank should consider jurisdictional privacy requirements and its own policies and procedures to determine what information to share.</w:t>
      </w:r>
    </w:p>
    <w:p>
      <w:pPr>
        <w:spacing w:line="360" w:lineRule="auto" w:after="20"/>
        <w:ind w:firstLine="283"/>
      </w:pPr>
      <w:r>
        <w:t>D. The information should only be shared on a need-to-know basis.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跨境内部共享客户信息时的隐私合规、权限控制与SAR保密</w:t>
      </w:r>
    </w:p>
    <w:p>
      <w:pPr>
        <w:spacing w:before="120" w:after="40"/>
      </w:pPr>
      <w:r>
        <w:rPr>
          <w:b/>
          <w:sz w:val="21"/>
          <w:shd w:fill="D6E4F0" w:val="clear"/>
        </w:rPr>
        <w:t>核心解析：</w:t>
      </w:r>
    </w:p>
    <w:p>
      <w:pPr>
        <w:spacing w:line="360" w:lineRule="auto" w:after="40"/>
        <w:ind w:firstLine="420"/>
      </w:pPr>
      <w:r>
        <w:t>题干请求的是有关客户的“更多相关信息”，同时提示纽约办事处曾提交SAR。判断前应区分</w:t>
      </w:r>
      <w:r>
        <w:rPr>
          <w:b/>
        </w:rPr>
        <w:t>底层客户/交易信息与SAR本身或其存在事实</w:t>
      </w:r>
      <w:r>
        <w:t>。教材直接指出，数据隐私法可能限制个人数据跨境传输，除非满足相应条件，金融机构必须确保跨境传输不违反适用法律</w:t>
      </w:r>
      <w:r>
        <w:rPr>
          <w:sz w:val="15"/>
          <w:vertAlign w:val="superscript"/>
        </w:rPr>
        <w:t>P209</w:t>
      </w:r>
      <w:r>
        <w:t>。因此，马德里与纽约之间分享哪些客户信息，必须结合相关司法管辖区的隐私要求及银行内部的权限和程序判断，C成立。</w:t>
      </w:r>
    </w:p>
    <w:p>
      <w:pPr>
        <w:spacing w:line="360" w:lineRule="auto" w:after="40"/>
        <w:ind w:firstLine="420"/>
      </w:pPr>
      <w:r>
        <w:t>教材还规定，客户数据只能向确有需要知晓且具有相应许可和权限的人共享</w:t>
      </w:r>
      <w:r>
        <w:rPr>
          <w:sz w:val="15"/>
          <w:vertAlign w:val="superscript"/>
        </w:rPr>
        <w:t>P209</w:t>
      </w:r>
      <w:r>
        <w:t>。对于SAR，限制更严格：即使在同一金融机构内部，也不是所有人员都应访问SAR信息，并应避免向未经授权方披露SAR</w:t>
      </w:r>
      <w:r>
        <w:rPr>
          <w:sz w:val="15"/>
          <w:vertAlign w:val="superscript"/>
        </w:rPr>
        <w:t>P352</w:t>
      </w:r>
      <w:r>
        <w:t>。因此，马德里办事处是否因本次调查而具备必要知悉和授权，是共享前必须确认的事项，D成立。教材另有条文说明存在促进金融机构内部跨境共享SAR的机制</w:t>
      </w:r>
      <w:r>
        <w:rPr>
          <w:sz w:val="15"/>
          <w:vertAlign w:val="superscript"/>
        </w:rPr>
        <w:t>P183</w:t>
      </w:r>
      <w:r>
        <w:t>，但这不是无条件授权；隐私、内部权限和SAR保密要求仍需同时满足。</w:t>
      </w:r>
    </w:p>
    <w:p>
      <w:pPr>
        <w:spacing w:before="120" w:after="40"/>
      </w:pPr>
      <w:r>
        <w:rPr>
          <w:b/>
          <w:sz w:val="21"/>
          <w:shd w:fill="D6E4F0" w:val="clear"/>
        </w:rPr>
        <w:t>教材原句：</w:t>
      </w:r>
    </w:p>
    <w:p>
      <w:pPr>
        <w:spacing w:line="360" w:lineRule="auto" w:after="40"/>
        <w:ind w:firstLine="420"/>
      </w:pPr>
      <w:r>
        <w:t>"Your customer data must be stored securely and should only be shared with others who need to know and have the requisite permission and authority to view it."</w:t>
      </w:r>
      <w:r>
        <w:rPr>
          <w:sz w:val="15"/>
          <w:vertAlign w:val="superscript"/>
        </w:rPr>
        <w:t>P209</w:t>
      </w:r>
    </w:p>
    <w:p>
      <w:pPr>
        <w:spacing w:before="120" w:after="40"/>
      </w:pPr>
      <w:r>
        <w:rPr>
          <w:b/>
          <w:sz w:val="21"/>
          <w:shd w:fill="D6E4F0" w:val="clear"/>
        </w:rPr>
        <w:t>A项错误：</w:t>
      </w:r>
    </w:p>
    <w:p>
      <w:pPr>
        <w:spacing w:line="360" w:lineRule="auto" w:after="40"/>
        <w:ind w:firstLine="420"/>
      </w:pPr>
      <w:r>
        <w:t>金融机构内部可以存在跨境共享SAR的机制</w:t>
      </w:r>
      <w:r>
        <w:rPr>
          <w:sz w:val="15"/>
          <w:vertAlign w:val="superscript"/>
        </w:rPr>
        <w:t>P183</w:t>
      </w:r>
      <w:r>
        <w:t>，但跨境传输个人数据仍须满足适用隐私法的条件</w:t>
      </w:r>
      <w:r>
        <w:rPr>
          <w:sz w:val="15"/>
          <w:vertAlign w:val="superscript"/>
        </w:rPr>
        <w:t>P209</w:t>
      </w:r>
      <w:r>
        <w:t>。具体审批要求取决于适用规则，不能一概表述为分享任何信息都必须先取得本国AFC机构批准。</w:t>
      </w:r>
    </w:p>
    <w:p>
      <w:pPr>
        <w:spacing w:before="120" w:after="40"/>
      </w:pPr>
      <w:r>
        <w:rPr>
          <w:b/>
          <w:sz w:val="21"/>
          <w:shd w:fill="D6E4F0" w:val="clear"/>
        </w:rPr>
        <w:t>B项错误：</w:t>
      </w:r>
    </w:p>
    <w:p>
      <w:pPr>
        <w:spacing w:line="360" w:lineRule="auto" w:after="40"/>
        <w:ind w:firstLine="420"/>
      </w:pPr>
      <w:r>
        <w:t>FinCEN负责收集、分析和传播金融交易数据，并发布法规、执行合规和监督AML计划</w:t>
      </w:r>
      <w:r>
        <w:rPr>
          <w:sz w:val="15"/>
          <w:vertAlign w:val="superscript"/>
        </w:rPr>
        <w:t>P184</w:t>
      </w:r>
      <w:r>
        <w:t>。但内部跨境共享前的直接判断重点是隐私条件、必要知悉和授权范围，而不是每次都先向FinCEN报告并等待个案指导。</w:t>
      </w:r>
    </w:p>
    <w:p>
      <w:pPr>
        <w:spacing w:before="120" w:after="40"/>
      </w:pPr>
      <w:r>
        <w:rPr>
          <w:b/>
          <w:sz w:val="21"/>
          <w:shd w:fill="D6E4F0" w:val="clear"/>
        </w:rPr>
        <w:t>易错提醒：</w:t>
      </w:r>
    </w:p>
    <w:p>
      <w:pPr>
        <w:spacing w:line="360" w:lineRule="auto" w:after="40"/>
        <w:ind w:firstLine="420"/>
      </w:pPr>
      <w:r>
        <w:t>“可促进内部跨境共享”不等于“可以向集团内任何人披露”。应先判断请求对象是否有调查职责、是否确有必要知悉、是否取得相应权限，以及跨境传输是否满足两地隐私法</w:t>
      </w:r>
      <w:r>
        <w:rPr>
          <w:sz w:val="15"/>
          <w:vertAlign w:val="superscript"/>
        </w:rPr>
        <w:t>P209</w:t>
      </w:r>
      <w:r>
        <w:t>。还要区分底层客户/交易材料与SAR本身：既有SAR的存在会提高保密要求，不能把一般客户信息共享规则理解为对SAR的无限制共享</w:t>
      </w:r>
      <w:r>
        <w:rPr>
          <w:sz w:val="15"/>
          <w:vertAlign w:val="superscript"/>
        </w:rPr>
        <w:t>P352</w:t>
      </w:r>
      <w:r>
        <w:t>。</w:t>
      </w:r>
    </w:p>
    <w:p>
      <w:pPr>
        <w:spacing w:line="360" w:lineRule="auto" w:after="120"/>
      </w:pPr>
      <w:r/>
    </w:p>
    <w:p>
      <w:pPr>
        <w:spacing w:line="360" w:lineRule="auto" w:after="40"/>
      </w:pPr>
      <w:r>
        <w:t>5. What areas of laws and regulations have the greatest impact on AML/CFT applications? (Choose Three.)</w:t>
      </w:r>
    </w:p>
    <w:p>
      <w:pPr>
        <w:spacing w:line="360" w:lineRule="auto" w:after="20"/>
        <w:ind w:firstLine="283"/>
      </w:pPr>
      <w:r>
        <w:t>A. Information security, data privacy, and cybersecurity.</w:t>
      </w:r>
    </w:p>
    <w:p>
      <w:pPr>
        <w:spacing w:line="360" w:lineRule="auto" w:after="20"/>
        <w:ind w:firstLine="283"/>
      </w:pPr>
      <w:r>
        <w:t>B. Foreign exchange controls and precious gemstone and metal dealing.</w:t>
      </w:r>
    </w:p>
    <w:p>
      <w:pPr>
        <w:spacing w:line="360" w:lineRule="auto" w:after="20"/>
        <w:ind w:firstLine="283"/>
      </w:pPr>
      <w:r>
        <w:t>C. Ombudsman and anti-competition authority.</w:t>
      </w:r>
    </w:p>
    <w:p>
      <w:pPr>
        <w:spacing w:line="360" w:lineRule="auto" w:after="20"/>
        <w:ind w:firstLine="283"/>
      </w:pPr>
      <w:r>
        <w:t>D. Electronic contract and biometric signature acceptance.</w:t>
      </w:r>
    </w:p>
    <w:p>
      <w:pPr>
        <w:spacing w:line="360" w:lineRule="auto" w:after="20"/>
        <w:ind w:firstLine="283"/>
      </w:pPr>
      <w:r>
        <w:t>E. Consumer protection, financial inclusion, and environmental, social, and governance.</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识别对金融机构反洗钱合规有直接影响的法律法规领域</w:t>
      </w:r>
    </w:p>
    <w:p>
      <w:pPr>
        <w:spacing w:before="120" w:after="40"/>
      </w:pPr>
      <w:r>
        <w:rPr>
          <w:b/>
          <w:sz w:val="21"/>
          <w:shd w:fill="D6E4F0" w:val="clear"/>
        </w:rPr>
        <w:t>核心解析：</w:t>
      </w:r>
    </w:p>
    <w:p>
      <w:pPr>
        <w:spacing w:line="360" w:lineRule="auto" w:after="40"/>
        <w:ind w:firstLine="420"/>
      </w:pPr>
      <w:r>
        <w:t>教材明确说明，金融机构受到</w:t>
      </w:r>
      <w:r>
        <w:rPr>
          <w:b/>
        </w:rPr>
        <w:t>隐私和数据安全法律</w:t>
      </w:r>
      <w:r>
        <w:t>约束</w:t>
      </w:r>
      <w:r>
        <w:rPr>
          <w:sz w:val="15"/>
          <w:vertAlign w:val="superscript"/>
        </w:rPr>
        <w:t>P209</w:t>
      </w:r>
      <w:r>
        <w:t>，跨境交易又受到</w:t>
      </w:r>
      <w:r>
        <w:rPr>
          <w:b/>
        </w:rPr>
        <w:t>资金流动、外汇/货币管制、制裁和报告法规</w:t>
      </w:r>
      <w:r>
        <w:t>影响</w:t>
      </w:r>
      <w:r>
        <w:rPr>
          <w:sz w:val="15"/>
          <w:vertAlign w:val="superscript"/>
        </w:rPr>
        <w:t>P217</w:t>
      </w:r>
      <w:r>
        <w:t>，贵金属和宝石经销商还属于</w:t>
      </w:r>
      <w:r>
        <w:rPr>
          <w:b/>
        </w:rPr>
        <w:t>高风险、受AML/CFT义务约束的行业</w:t>
      </w:r>
      <w:r>
        <w:rPr>
          <w:sz w:val="15"/>
          <w:vertAlign w:val="superscript"/>
        </w:rPr>
        <w:t>P119、P197</w:t>
      </w:r>
      <w:r>
        <w:t>。消费者保护、金融普惠与ESG也分别与AFC法规发生交叉或趋于融合（P213-P214）。因此，A、B、E分别体现了</w:t>
      </w:r>
      <w:r>
        <w:rPr>
          <w:b/>
        </w:rPr>
        <w:t>数据隐私</w:t>
      </w:r>
      <w:r>
        <w:t>、</w:t>
      </w:r>
      <w:r>
        <w:rPr>
          <w:b/>
        </w:rPr>
        <w:t>跨境资金与行业监管</w:t>
      </w:r>
      <w:r>
        <w:t>以及</w:t>
      </w:r>
      <w:r>
        <w:rPr>
          <w:b/>
        </w:rPr>
        <w:t>交叉监管</w:t>
      </w:r>
      <w:r>
        <w:t>领域对AML/CFT应用的直接影响。D描述的是开户环节使用的</w:t>
      </w:r>
      <w:r>
        <w:rPr>
          <w:b/>
        </w:rPr>
        <w:t>电子身份验证和生物识别技术</w:t>
      </w:r>
      <w:r>
        <w:rPr>
          <w:sz w:val="15"/>
          <w:vertAlign w:val="superscript"/>
        </w:rPr>
        <w:t>P404</w:t>
      </w:r>
      <w:r>
        <w:t>，不能据此把“电子合同与生物特征签名的接受”认定为直接影响AML/CFT应用的法律法规领域。</w:t>
      </w:r>
    </w:p>
    <w:p>
      <w:pPr>
        <w:spacing w:before="120" w:after="40"/>
      </w:pPr>
      <w:r>
        <w:rPr>
          <w:b/>
          <w:sz w:val="21"/>
          <w:shd w:fill="D6E4F0" w:val="clear"/>
        </w:rPr>
        <w:t>教材原句：</w:t>
      </w:r>
    </w:p>
    <w:p>
      <w:pPr>
        <w:spacing w:line="360" w:lineRule="auto" w:after="40"/>
        <w:ind w:firstLine="420"/>
      </w:pPr>
      <w:r>
        <w:t>"Many jurisdictions have specific national privacy or data security laws, including laws and regulations that apply to financial institutions."</w:t>
      </w:r>
      <w:r>
        <w:rPr>
          <w:sz w:val="15"/>
          <w:vertAlign w:val="superscript"/>
        </w:rPr>
        <w:t>P209</w:t>
      </w:r>
    </w:p>
    <w:p>
      <w:pPr>
        <w:spacing w:before="120" w:after="40"/>
      </w:pPr>
      <w:r>
        <w:rPr>
          <w:b/>
          <w:sz w:val="21"/>
          <w:shd w:fill="D6E4F0" w:val="clear"/>
        </w:rPr>
        <w:t>C项错误：</w:t>
      </w:r>
    </w:p>
    <w:p>
      <w:pPr>
        <w:spacing w:line="360" w:lineRule="auto" w:after="40"/>
        <w:ind w:firstLine="420"/>
      </w:pPr>
      <w:r>
        <w:rPr>
          <w:b/>
        </w:rPr>
        <w:t>监察专员和反垄断机构</w:t>
      </w:r>
      <w:r>
        <w:t>主要处理行政申诉、公平竞争等问题，其职责与A、B、E所涉及的</w:t>
      </w:r>
      <w:r>
        <w:rPr>
          <w:b/>
        </w:rPr>
        <w:t>数据保护、跨境资金、行业义务和交叉监管</w:t>
      </w:r>
      <w:r>
        <w:t>相比，对AML/CFT应用的影响</w:t>
      </w:r>
      <w:r>
        <w:rPr>
          <w:b/>
        </w:rPr>
        <w:t>不够直接</w:t>
      </w:r>
      <w:r>
        <w:t>。</w:t>
      </w:r>
    </w:p>
    <w:p>
      <w:pPr>
        <w:spacing w:before="120" w:after="40"/>
      </w:pPr>
      <w:r>
        <w:rPr>
          <w:b/>
          <w:sz w:val="21"/>
          <w:shd w:fill="D6E4F0" w:val="clear"/>
        </w:rPr>
        <w:t>易错提醒：</w:t>
      </w:r>
    </w:p>
    <w:p>
      <w:pPr>
        <w:spacing w:line="360" w:lineRule="auto" w:after="40"/>
        <w:ind w:firstLine="420"/>
      </w:pPr>
      <w:r>
        <w:t>注意区分</w:t>
      </w:r>
      <w:r>
        <w:rPr>
          <w:b/>
        </w:rPr>
        <w:t>“反洗钱应关注的业务风险”</w:t>
      </w:r>
      <w:r>
        <w:t>（如贵金属交易商、跨境外汇管制）</w:t>
      </w:r>
      <w:r>
        <w:rPr>
          <w:sz w:val="15"/>
          <w:vertAlign w:val="superscript"/>
        </w:rPr>
        <w:t>P119、P217</w:t>
      </w:r>
      <w:r>
        <w:t>与</w:t>
      </w:r>
      <w:r>
        <w:rPr>
          <w:b/>
        </w:rPr>
        <w:t>“对反洗钱合规框架本身有直接影响的法律领域”</w:t>
      </w:r>
      <w:r>
        <w:t>（如数据隐私法、消费者保护法）</w:t>
      </w:r>
      <w:r>
        <w:rPr>
          <w:sz w:val="15"/>
          <w:vertAlign w:val="superscript"/>
        </w:rPr>
        <w:t>P209、P213</w:t>
      </w:r>
      <w:r>
        <w:t>。</w:t>
      </w:r>
      <w:r>
        <w:rPr>
          <w:b/>
        </w:rPr>
        <w:t>前者</w:t>
      </w:r>
      <w:r>
        <w:t>是合规工作要去识别和管理的对象，</w:t>
      </w:r>
      <w:r>
        <w:rPr>
          <w:b/>
        </w:rPr>
        <w:t>后者</w:t>
      </w:r>
      <w:r>
        <w:t>则直接约束金融机构如何开展合规工作。</w:t>
      </w:r>
    </w:p>
    <w:p>
      <w:pPr>
        <w:spacing w:line="360" w:lineRule="auto" w:after="120"/>
      </w:pPr>
      <w:r/>
    </w:p>
    <w:p>
      <w:pPr>
        <w:spacing w:line="360" w:lineRule="auto" w:after="40"/>
      </w:pPr>
      <w:r>
        <w:t>6. According to the Financial Action Task Force (FATF), potential risk indicators related to money laundering proceeds from environmental crimes include: (Select Two.)</w:t>
      </w:r>
    </w:p>
    <w:p>
      <w:pPr>
        <w:spacing w:line="360" w:lineRule="auto" w:after="20"/>
        <w:ind w:firstLine="283"/>
      </w:pPr>
      <w:r>
        <w:t>A. Waste management sector companies based in high-risk jurisdictions with payments or trade invoices for types of waste aligned with those they are authorized to process</w:t>
      </w:r>
    </w:p>
    <w:p>
      <w:pPr>
        <w:spacing w:line="360" w:lineRule="auto" w:after="20"/>
        <w:ind w:firstLine="283"/>
      </w:pPr>
      <w:r>
        <w:t>B. Frequent payments from companies in the logging, milling, or waste trade sectors to individuals or beneficiaries unrelated to the legal person activity or business</w:t>
      </w:r>
    </w:p>
    <w:p>
      <w:pPr>
        <w:spacing w:line="360" w:lineRule="auto" w:after="20"/>
        <w:ind w:firstLine="283"/>
      </w:pPr>
      <w:r>
        <w:t>C. Unexplained wealth and cash transfers involving senior officials or politically exposed persons (or their family members) with a position of responsibility related to the management or preservation of natural resources</w:t>
      </w:r>
    </w:p>
    <w:p>
      <w:pPr>
        <w:spacing w:line="360" w:lineRule="auto" w:after="20"/>
        <w:ind w:firstLine="283"/>
      </w:pPr>
      <w:r>
        <w:t>D. Small cash transfers from cash-intensive businesses to beneficiaries in areas known as sources of gold mining, illegal logging, and illegal land clearing</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识别与环境犯罪所得洗钱相关的 FATF 风险指标</w:t>
      </w:r>
    </w:p>
    <w:p>
      <w:pPr>
        <w:spacing w:before="120" w:after="40"/>
      </w:pPr>
      <w:r>
        <w:rPr>
          <w:b/>
          <w:sz w:val="21"/>
          <w:shd w:fill="D6E4F0" w:val="clear"/>
        </w:rPr>
        <w:t>核心解析：</w:t>
      </w:r>
    </w:p>
    <w:p>
      <w:pPr>
        <w:spacing w:line="360" w:lineRule="auto" w:after="40"/>
        <w:ind w:firstLine="420"/>
      </w:pPr>
      <w:r>
        <w:t>FATF 关注的环境犯罪洗钱风险指标，通常指向利用</w:t>
      </w:r>
      <w:r>
        <w:rPr>
          <w:b/>
        </w:rPr>
        <w:t>自然资源行业的幌子公司进行异常资金转移</w:t>
      </w:r>
      <w:r>
        <w:t>，以及公职人员腐败。选项 B 描述伐木、木材加工或废料行业公司频繁向与合法经营无关的个人付款——这一模式与教材中“</w:t>
      </w:r>
      <w:r>
        <w:rPr>
          <w:b/>
        </w:rPr>
        <w:t>犯罪组织发起或勒索看似合法的渔业、伐木和采矿业务</w:t>
      </w:r>
      <w:r>
        <w:t>”并“</w:t>
      </w:r>
      <w:r>
        <w:rPr>
          <w:b/>
        </w:rPr>
        <w:t>虚增合同向共谋账户持有人付款以离析资金</w:t>
      </w:r>
      <w:r>
        <w:t>”的洗钱手法吻合</w:t>
      </w:r>
      <w:r>
        <w:rPr>
          <w:sz w:val="15"/>
          <w:vertAlign w:val="superscript"/>
        </w:rPr>
        <w:t>P33</w:t>
      </w:r>
      <w:r>
        <w:t>。选项 C 描述无法解释的财富和涉及自然资源管理官员（含家庭成员）的现金转移——这直接对应教材“环境犯罪常伴随对地方官员的贿赂和腐败”，以及腐败官员“收受贿赂阻碍调查”</w:t>
      </w:r>
      <w:r>
        <w:rPr>
          <w:sz w:val="15"/>
          <w:vertAlign w:val="superscript"/>
        </w:rPr>
        <w:t>P217</w:t>
      </w:r>
      <w:r>
        <w:t>。二者均属于环境犯罪所得洗钱的典型红旗信号。</w:t>
      </w:r>
    </w:p>
    <w:p>
      <w:pPr>
        <w:spacing w:before="120" w:after="40"/>
      </w:pPr>
      <w:r>
        <w:rPr>
          <w:b/>
          <w:sz w:val="21"/>
          <w:shd w:fill="D6E4F0" w:val="clear"/>
        </w:rPr>
        <w:t>A项错误：</w:t>
      </w:r>
    </w:p>
    <w:p>
      <w:pPr>
        <w:spacing w:line="360" w:lineRule="auto" w:after="40"/>
        <w:ind w:firstLine="420"/>
      </w:pPr>
      <w:r>
        <w:t>高风险管辖区注册的废物公司，其支付款项所涉废物类型与获授权处理的范围一致，这通常属于正常经营行为，与教材中利用废物管理幌子公司虚增合同、向无关方付款的洗钱风险指标相比，缺乏异常信号，因此匹配度不如 B 和 C。</w:t>
      </w:r>
    </w:p>
    <w:p>
      <w:pPr>
        <w:spacing w:before="120" w:after="40"/>
      </w:pPr>
      <w:r>
        <w:rPr>
          <w:b/>
          <w:sz w:val="21"/>
          <w:shd w:fill="D6E4F0" w:val="clear"/>
        </w:rPr>
        <w:t>D项错误：</w:t>
      </w:r>
    </w:p>
    <w:p>
      <w:pPr>
        <w:spacing w:line="360" w:lineRule="auto" w:after="40"/>
        <w:ind w:firstLine="420"/>
      </w:pPr>
      <w:r>
        <w:t>从现金密集型企业向矿区受益人进行小额现金转移虽可构成一般性洗钱疑虑，例如漏斗账户和现金密集业务都可能被用于清洗收益，但题目要求的是FATF环境犯罪洗钱风险指标。选项B和C更直接对应环境犯罪特有手法（滥伐幌子公司、贿赂自然资源官员），而选项D缺乏像B和C那样与环境犯罪模式的直接关联，因而匹配度相对较弱。</w:t>
      </w:r>
    </w:p>
    <w:p>
      <w:pPr>
        <w:spacing w:before="120" w:after="40"/>
      </w:pPr>
      <w:r>
        <w:rPr>
          <w:b/>
          <w:sz w:val="21"/>
          <w:shd w:fill="D6E4F0" w:val="clear"/>
        </w:rPr>
        <w:t>易错提醒：</w:t>
      </w:r>
    </w:p>
    <w:p>
      <w:pPr>
        <w:spacing w:line="360" w:lineRule="auto" w:after="40"/>
        <w:ind w:firstLine="420"/>
      </w:pPr>
      <w:r>
        <w:t>“高风险辖区”“矿区”“小额现金转移”等一般风险要素，单独出现时不足以确定与环境犯罪有关。环境犯罪洗钱指标还需结合伐木、废料、采矿等行业关联，以及自然资源管理领域的公职人员腐败等特征</w:t>
      </w:r>
      <w:r>
        <w:rPr>
          <w:sz w:val="15"/>
          <w:vertAlign w:val="superscript"/>
        </w:rPr>
        <w:t>P33、P217</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