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When a multinational organization develops its anti-financial crime (AFC) program, what is the most important consideration for ensuring compliance across different jurisdictions?</w:t>
      </w:r>
    </w:p>
    <w:p>
      <w:pPr>
        <w:spacing w:line="360" w:lineRule="auto" w:after="20"/>
        <w:ind w:firstLine="283"/>
      </w:pPr>
      <w:r>
        <w:t>A. Ensuring sanctions do not impact international bodies like the UN because they are not required to adhere to local laws</w:t>
      </w:r>
    </w:p>
    <w:p>
      <w:pPr>
        <w:spacing w:line="360" w:lineRule="auto" w:after="20"/>
        <w:ind w:firstLine="283"/>
      </w:pPr>
      <w:r>
        <w:t>B. Ensuring group policies and procedures prioritize adherence to U.S. regulations because they are the most influential worldwide</w:t>
      </w:r>
    </w:p>
    <w:p>
      <w:pPr>
        <w:spacing w:line="360" w:lineRule="auto" w:after="20"/>
        <w:ind w:firstLine="283"/>
      </w:pPr>
      <w:r>
        <w:t>C. Applying global AFC and sanctions policies to ensure consistency without the need to adapt to local regulations</w:t>
      </w:r>
    </w:p>
    <w:p>
      <w:pPr>
        <w:spacing w:line="360" w:lineRule="auto" w:after="20"/>
        <w:ind w:firstLine="283"/>
      </w:pPr>
      <w:r>
        <w:t>D. Ensuring group policies cater to compliance with each country's specific AML and sanctions regulations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跨国组织AFC政策如何协调全球框架与司法管辖区当地法规</w:t>
      </w:r>
    </w:p>
    <w:p>
      <w:pPr>
        <w:spacing w:before="120" w:after="40"/>
      </w:pPr>
      <w:r>
        <w:rPr>
          <w:b/>
          <w:sz w:val="21"/>
          <w:shd w:fill="D6E4F0" w:val="clear"/>
        </w:rPr>
        <w:t>核心解析：</w:t>
      </w:r>
    </w:p>
    <w:p>
      <w:pPr>
        <w:spacing w:line="360" w:lineRule="auto" w:after="40"/>
        <w:ind w:firstLine="420"/>
      </w:pPr>
      <w:r>
        <w:t>跨国组织在不同司法管辖区运营时，合规的核心原则是在维持</w:t>
      </w:r>
      <w:r>
        <w:rPr>
          <w:b/>
        </w:rPr>
        <w:t>全球反金融犯罪（AFC）整体框架</w:t>
      </w:r>
      <w:r>
        <w:t>的同时，使政策符合</w:t>
      </w:r>
      <w:r>
        <w:rPr>
          <w:b/>
        </w:rPr>
        <w:t>每个国家的具体法律</w:t>
      </w:r>
      <w:r>
        <w:rPr>
          <w:sz w:val="15"/>
          <w:vertAlign w:val="superscript"/>
        </w:rPr>
        <w:t>P292</w:t>
      </w:r>
      <w:r>
        <w:t>。这意味着不能简单地将总部所在国的政策直接套用到所有海外机构，因为不同司法管辖区的反洗钱和制裁标准存在差异</w:t>
      </w:r>
      <w:r>
        <w:rPr>
          <w:sz w:val="15"/>
          <w:vertAlign w:val="superscript"/>
        </w:rPr>
        <w:t>P194</w:t>
      </w:r>
      <w:r>
        <w:t>。题干中，跨国组织制定AFC计划时面临“确保在不同司法管辖区合规”的任务，选项D提出“确保集团政策符合每个国家具体的反洗钱和制裁法规”，这正是教材所确立的根本方法——政策必须与当地法律对接，必要时可在某些司法管辖区实施更高的标准</w:t>
      </w:r>
      <w:r>
        <w:rPr>
          <w:sz w:val="15"/>
          <w:vertAlign w:val="superscript"/>
        </w:rPr>
        <w:t>P292</w:t>
      </w:r>
      <w:r>
        <w:t>。国际金融机构通常还会为集团政策附加特定司法管辖区的附录，以记录当地更高的合规要求</w:t>
      </w:r>
      <w:r>
        <w:rPr>
          <w:sz w:val="15"/>
          <w:vertAlign w:val="superscript"/>
        </w:rPr>
        <w:t>P194</w:t>
      </w:r>
      <w:r>
        <w:t>。由此可推断，最直接的合规方式是</w:t>
      </w:r>
      <w:r>
        <w:rPr>
          <w:b/>
        </w:rPr>
        <w:t>使集团政策与各东道国的法规要求衔接</w:t>
      </w:r>
      <w:r>
        <w:t>，而不是用单一标准覆盖所有司法管辖区。</w:t>
      </w:r>
    </w:p>
    <w:p>
      <w:pPr>
        <w:spacing w:before="120" w:after="40"/>
      </w:pPr>
      <w:r>
        <w:rPr>
          <w:b/>
          <w:sz w:val="21"/>
          <w:shd w:fill="D6E4F0" w:val="clear"/>
        </w:rPr>
        <w:t>A项错误：</w:t>
      </w:r>
    </w:p>
    <w:p>
      <w:pPr>
        <w:spacing w:line="360" w:lineRule="auto" w:after="40"/>
        <w:ind w:firstLine="420"/>
      </w:pPr>
      <w:r>
        <w:t>题干关注的是跨国组织如何确保自身合规，而非国际机构的地位。此外，联合国安理会的制裁决议对会员国有约束力</w:t>
      </w:r>
      <w:r>
        <w:rPr>
          <w:sz w:val="15"/>
          <w:vertAlign w:val="superscript"/>
        </w:rPr>
        <w:t>P206</w:t>
      </w:r>
      <w:r>
        <w:t>，不能说联合国这样的机构“无需遵守当地法律”，题干并未涉及这一前提，整体方向与题干任务不符。</w:t>
      </w:r>
    </w:p>
    <w:p>
      <w:pPr>
        <w:spacing w:before="120" w:after="40"/>
      </w:pPr>
      <w:r>
        <w:rPr>
          <w:b/>
          <w:sz w:val="21"/>
          <w:shd w:fill="D6E4F0" w:val="clear"/>
        </w:rPr>
        <w:t>B项错误：</w:t>
      </w:r>
    </w:p>
    <w:p>
      <w:pPr>
        <w:spacing w:line="360" w:lineRule="auto" w:after="40"/>
        <w:ind w:firstLine="420"/>
      </w:pPr>
      <w:r>
        <w:t>虽然美国制裁因美元的重要性而具有广泛的全球影响</w:t>
      </w:r>
      <w:r>
        <w:rPr>
          <w:sz w:val="15"/>
          <w:vertAlign w:val="superscript"/>
        </w:rPr>
        <w:t>P206</w:t>
      </w:r>
      <w:r>
        <w:t>，但教材并不支持“优先遵循美国法规”是确保各国合规的最重要考虑。跨国机构面临的关键挑战恰恰在于全球标准与当地法规的协调</w:t>
      </w:r>
      <w:r>
        <w:rPr>
          <w:sz w:val="15"/>
          <w:vertAlign w:val="superscript"/>
        </w:rPr>
        <w:t>P194</w:t>
      </w:r>
      <w:r>
        <w:t>，优先遵从某一国的法规难以应对其他司法管辖区可能更严格的要求，不如 D 项直接契合教材中“使政策符合每个国家具体法律”的原则。</w:t>
      </w:r>
    </w:p>
    <w:p>
      <w:pPr>
        <w:spacing w:before="120" w:after="40"/>
      </w:pPr>
      <w:r>
        <w:rPr>
          <w:b/>
          <w:sz w:val="21"/>
          <w:shd w:fill="D6E4F0" w:val="clear"/>
        </w:rPr>
        <w:t>C项错误：</w:t>
      </w:r>
    </w:p>
    <w:p>
      <w:pPr>
        <w:spacing w:line="360" w:lineRule="auto" w:after="40"/>
        <w:ind w:firstLine="420"/>
      </w:pPr>
      <w:r>
        <w:t>不同司法管辖区的反洗钱标准存在差异，且可能高于金融机构的母国标准</w:t>
      </w:r>
      <w:r>
        <w:rPr>
          <w:sz w:val="15"/>
          <w:vertAlign w:val="superscript"/>
        </w:rPr>
        <w:t>P194</w:t>
      </w:r>
      <w:r>
        <w:t>。教材指出，国际金融机构常通过特定司法管辖区的附录来应对当地法规差异</w:t>
      </w:r>
      <w:r>
        <w:rPr>
          <w:sz w:val="15"/>
          <w:vertAlign w:val="superscript"/>
        </w:rPr>
        <w:t>P194</w:t>
      </w:r>
      <w:r>
        <w:t>，而非“无需适应当地法规”。因此，该选项所主张的绝对一致性，在要求上不如 D 项符合教材强调的协调与适应立场。</w:t>
      </w:r>
    </w:p>
    <w:p>
      <w:pPr>
        <w:spacing w:before="120" w:after="40"/>
      </w:pPr>
      <w:r>
        <w:rPr>
          <w:b/>
          <w:sz w:val="21"/>
          <w:shd w:fill="D6E4F0" w:val="clear"/>
        </w:rPr>
        <w:t>易错提醒：</w:t>
      </w:r>
    </w:p>
    <w:p>
      <w:pPr>
        <w:spacing w:line="360" w:lineRule="auto" w:after="40"/>
        <w:ind w:firstLine="420"/>
      </w:pPr>
      <w:r>
        <w:t>全球政策的一致性不等于在所有国家执行完全相同的标准。“确保全球一致”是目标，“遵从当地法规”是底线。当二者冲突时，教材的原则是允许区域或地方政策反映当地法律，前提是不与组织的全球政策冲突</w:t>
      </w:r>
      <w:r>
        <w:rPr>
          <w:sz w:val="15"/>
          <w:vertAlign w:val="superscript"/>
        </w:rPr>
        <w:t>P294</w:t>
      </w:r>
      <w:r>
        <w:t>，且优先满足当地更高的标准</w:t>
      </w:r>
      <w:r>
        <w:rPr>
          <w:sz w:val="15"/>
          <w:vertAlign w:val="superscript"/>
        </w:rPr>
        <w:t>P194</w:t>
      </w:r>
      <w:r>
        <w:t>。混淆时容易误以为全球统一模板就能解决所有司法管辖区的合规问题。</w:t>
      </w:r>
    </w:p>
    <w:p>
      <w:pPr>
        <w:spacing w:line="360" w:lineRule="auto" w:after="120"/>
      </w:pPr>
      <w:r/>
    </w:p>
    <w:p>
      <w:pPr>
        <w:spacing w:line="360" w:lineRule="auto" w:after="40"/>
      </w:pPr>
      <w:r>
        <w:t>2. Which of the following is a key consideration for a global organization when managing AFC and sanctions compliance across multiple jurisdictions?</w:t>
      </w:r>
    </w:p>
    <w:p>
      <w:pPr>
        <w:spacing w:line="360" w:lineRule="auto" w:after="20"/>
        <w:ind w:firstLine="283"/>
      </w:pPr>
      <w:r>
        <w:t>A. Ensuring sanctions compliance by relying solely on international bodies like the UN because there is no requirement to adhere to local laws</w:t>
      </w:r>
    </w:p>
    <w:p>
      <w:pPr>
        <w:spacing w:line="360" w:lineRule="auto" w:after="20"/>
        <w:ind w:firstLine="283"/>
      </w:pPr>
      <w:r>
        <w:t>B. Ensuring group policies and procedures prioritize adherence to U.S. regulations because they are the most influential worldwide</w:t>
      </w:r>
    </w:p>
    <w:p>
      <w:pPr>
        <w:spacing w:line="360" w:lineRule="auto" w:after="20"/>
        <w:ind w:firstLine="283"/>
      </w:pPr>
      <w:r>
        <w:t>C. Applying global AFC and sanctions policies to ensure consistency without the need to adapt to local regulations</w:t>
      </w:r>
    </w:p>
    <w:p>
      <w:pPr>
        <w:spacing w:line="360" w:lineRule="auto" w:after="20"/>
        <w:ind w:firstLine="283"/>
      </w:pPr>
      <w:r>
        <w:t>D. Ensuring group policies cater to compliance with each country's specific AML and sanctions regulations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跨国机构对全球政策与各司法管辖区当地法规的协调原则</w:t>
      </w:r>
    </w:p>
    <w:p>
      <w:pPr>
        <w:spacing w:before="120" w:after="40"/>
      </w:pPr>
      <w:r>
        <w:rPr>
          <w:b/>
          <w:sz w:val="21"/>
          <w:shd w:fill="D6E4F0" w:val="clear"/>
        </w:rPr>
        <w:t>核心解析：</w:t>
      </w:r>
    </w:p>
    <w:p>
      <w:pPr>
        <w:spacing w:line="360" w:lineRule="auto" w:after="40"/>
        <w:ind w:firstLine="420"/>
      </w:pPr>
      <w:r>
        <w:t>跨国机构合规的核心原则，是使集团政策符合</w:t>
      </w:r>
      <w:r>
        <w:rPr>
          <w:b/>
        </w:rPr>
        <w:t>每个运营所在国家的具体法律</w:t>
      </w:r>
      <w:r>
        <w:t>，同时维持全球金融犯罪防控原则</w:t>
      </w:r>
      <w:r>
        <w:rPr>
          <w:sz w:val="15"/>
          <w:vertAlign w:val="superscript"/>
        </w:rPr>
        <w:t>P292</w:t>
      </w:r>
      <w:r>
        <w:t>。题干中，全球性组织在多个司法管辖区管理合规，面临不同法律要求的冲突。关键考虑因素是要确保政策涵盖当地法规</w:t>
      </w:r>
      <w:r>
        <w:rPr>
          <w:sz w:val="15"/>
          <w:vertAlign w:val="superscript"/>
        </w:rPr>
        <w:t>P294</w:t>
      </w:r>
      <w:r>
        <w:t>，可能需在部分司法管辖区实施更高标准以维持全球一致性</w:t>
      </w:r>
      <w:r>
        <w:rPr>
          <w:sz w:val="15"/>
          <w:vertAlign w:val="superscript"/>
        </w:rPr>
        <w:t>P292</w:t>
      </w:r>
      <w:r>
        <w:t>。选项D正是直接体现了使集团政策“符合每个国家具体的反洗钱和制裁法规要求”这一核心原则，在教材框架下是管理</w:t>
      </w:r>
      <w:r>
        <w:rPr>
          <w:b/>
        </w:rPr>
        <w:t>多司法管辖区合规</w:t>
      </w:r>
      <w:r>
        <w:t>必须优先考虑的事项。</w:t>
      </w:r>
    </w:p>
    <w:p>
      <w:pPr>
        <w:spacing w:before="120" w:after="40"/>
      </w:pPr>
      <w:r>
        <w:rPr>
          <w:b/>
          <w:sz w:val="21"/>
          <w:shd w:fill="D6E4F0" w:val="clear"/>
        </w:rPr>
        <w:t>教材原句：</w:t>
      </w:r>
    </w:p>
    <w:p>
      <w:pPr>
        <w:spacing w:line="360" w:lineRule="auto" w:after="40"/>
        <w:ind w:firstLine="420"/>
      </w:pPr>
      <w:r>
        <w:t>"multinational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跨国机构必须使其政策符合各运营国的法律</w:t>
      </w:r>
      <w:r>
        <w:rPr>
          <w:sz w:val="15"/>
          <w:vertAlign w:val="superscript"/>
        </w:rPr>
        <w:t>P292</w:t>
      </w:r>
      <w:r>
        <w:t>。联合国等国际机构在制裁领域的协调作用，不能替代机构在各司法管辖区满足当地监管要求的义务。</w:t>
      </w:r>
    </w:p>
    <w:p>
      <w:pPr>
        <w:spacing w:before="120" w:after="40"/>
      </w:pPr>
      <w:r>
        <w:rPr>
          <w:b/>
          <w:sz w:val="21"/>
          <w:shd w:fill="D6E4F0" w:val="clear"/>
        </w:rPr>
        <w:t>B项错误：</w:t>
      </w:r>
    </w:p>
    <w:p>
      <w:pPr>
        <w:spacing w:line="360" w:lineRule="auto" w:after="40"/>
        <w:ind w:firstLine="420"/>
      </w:pPr>
      <w:r>
        <w:t>全球组织通常以母国要求为基础，再根据各东道国法律调整</w:t>
      </w:r>
      <w:r>
        <w:rPr>
          <w:sz w:val="15"/>
          <w:vertAlign w:val="superscript"/>
        </w:rPr>
        <w:t>P49</w:t>
      </w:r>
      <w:r>
        <w:t>。美国制裁具有广泛影响力</w:t>
      </w:r>
      <w:r>
        <w:rPr>
          <w:sz w:val="15"/>
          <w:vertAlign w:val="superscript"/>
        </w:rPr>
        <w:t>P206</w:t>
      </w:r>
      <w:r>
        <w:t>，但是否适用仍取决于主体、交易和司法管辖区联系；题干既未指定组织母国为美国，也未给出美国法优先的依据，因此应满足各运营所在地的适用要求，而不是一概优先美国法规。</w:t>
      </w:r>
    </w:p>
    <w:p>
      <w:pPr>
        <w:spacing w:before="120" w:after="40"/>
      </w:pPr>
      <w:r>
        <w:rPr>
          <w:b/>
          <w:sz w:val="21"/>
          <w:shd w:fill="D6E4F0" w:val="clear"/>
        </w:rPr>
        <w:t>C项错误：</w:t>
      </w:r>
    </w:p>
    <w:p>
      <w:pPr>
        <w:spacing w:line="360" w:lineRule="auto" w:after="40"/>
        <w:ind w:firstLine="420"/>
      </w:pPr>
      <w:r>
        <w:t>教材要求全球组织应通过差距分析确保政策涵盖当地法规</w:t>
      </w:r>
      <w:r>
        <w:rPr>
          <w:sz w:val="15"/>
          <w:vertAlign w:val="superscript"/>
        </w:rPr>
        <w:t>P294</w:t>
      </w:r>
      <w:r>
        <w:t>，并允许制定区域或地方政策以反映当地法律、法规和风险，只要不与全球政策冲突</w:t>
      </w:r>
      <w:r>
        <w:rPr>
          <w:sz w:val="15"/>
          <w:vertAlign w:val="superscript"/>
        </w:rPr>
        <w:t>P294</w:t>
      </w:r>
      <w:r>
        <w:t>。“无需适应当地法规”与这些要求直接矛盾，不如选项 D 符合教材关于协调全球与当地要求的整体思路。</w:t>
      </w:r>
    </w:p>
    <w:p>
      <w:pPr>
        <w:spacing w:before="120" w:after="40"/>
      </w:pPr>
      <w:r>
        <w:rPr>
          <w:b/>
          <w:sz w:val="21"/>
          <w:shd w:fill="D6E4F0" w:val="clear"/>
        </w:rPr>
        <w:t>易错提醒：</w:t>
      </w:r>
    </w:p>
    <w:p>
      <w:pPr>
        <w:spacing w:line="360" w:lineRule="auto" w:after="40"/>
        <w:ind w:firstLine="420"/>
      </w:pPr>
      <w:r>
        <w:t>美国制裁确实具有广泛的全球影响力</w:t>
      </w:r>
      <w:r>
        <w:rPr>
          <w:sz w:val="15"/>
          <w:vertAlign w:val="superscript"/>
        </w:rPr>
        <w:t>P206</w:t>
      </w:r>
      <w:r>
        <w:t>，但多司法管辖区合规的关键不是“谁的法规影响力最大就优先谁”，而是以母国标准为起点、再根据各东道国法律逐一调整</w:t>
      </w:r>
      <w:r>
        <w:rPr>
          <w:sz w:val="15"/>
          <w:vertAlign w:val="superscript"/>
        </w:rPr>
        <w:t>P49</w:t>
      </w:r>
      <w:r>
        <w:t>。只有当题干明确指定“母国为美国的组织”时，以美国法规为基础标准才成立；在此题未指定的情况下，优先当地合规（D）比优先美国法规（B）更直接匹配教材的通用规则。</w:t>
      </w:r>
    </w:p>
    <w:p>
      <w:pPr>
        <w:spacing w:line="360" w:lineRule="auto" w:after="120"/>
      </w:pPr>
      <w:r/>
    </w:p>
    <w:p>
      <w:pPr>
        <w:spacing w:line="360" w:lineRule="auto" w:after="40"/>
      </w:pPr>
      <w:r>
        <w:t>3. In order to prevent financial crime risk, the implemented policies, controls, and procedures must:</w:t>
      </w:r>
    </w:p>
    <w:p>
      <w:pPr>
        <w:spacing w:line="360" w:lineRule="auto" w:after="20"/>
        <w:ind w:firstLine="283"/>
      </w:pPr>
      <w:r>
        <w:t>A. Include sophisticated and automated controls that use the newest types of technology available, for example artificial intelligence (AI) and machine learning</w:t>
      </w:r>
    </w:p>
    <w:p>
      <w:pPr>
        <w:spacing w:line="360" w:lineRule="auto" w:after="20"/>
        <w:ind w:firstLine="283"/>
      </w:pPr>
      <w:r>
        <w:t>B. Be proportionate with regard to the size and nature of the firm, approved by senior management, and regularly reviewed</w:t>
      </w:r>
    </w:p>
    <w:p>
      <w:pPr>
        <w:spacing w:line="360" w:lineRule="auto" w:after="20"/>
        <w:ind w:firstLine="283"/>
      </w:pPr>
      <w:r>
        <w:t>C. Be completed by the business and validated by an external firm, for example an auditing or consulting firm</w:t>
      </w:r>
    </w:p>
    <w:p>
      <w:pPr>
        <w:spacing w:line="360" w:lineRule="auto" w:after="20"/>
        <w:ind w:firstLine="283"/>
      </w:pPr>
      <w:r>
        <w:t>D. Be created, approved, and owned only by first-line business teams, and reviewed annually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金融犯罪防控政策的制定与维护须遵循风险相称、高层批准、定期审查三原则</w:t>
      </w:r>
    </w:p>
    <w:p>
      <w:pPr>
        <w:spacing w:before="120" w:after="40"/>
      </w:pPr>
      <w:r>
        <w:rPr>
          <w:b/>
          <w:sz w:val="21"/>
          <w:shd w:fill="D6E4F0" w:val="clear"/>
        </w:rPr>
        <w:t>核心解析：</w:t>
      </w:r>
    </w:p>
    <w:p>
      <w:pPr>
        <w:spacing w:line="360" w:lineRule="auto" w:after="40"/>
        <w:ind w:firstLine="420"/>
      </w:pPr>
      <w:r>
        <w:t>教材阐述了金融犯罪防控政策的三项核心原则：第一，“金融犯罪防控政策和程序应根据组织的具体风险状况、风险偏好和规模量身定制”</w:t>
      </w:r>
      <w:r>
        <w:rPr>
          <w:sz w:val="15"/>
          <w:vertAlign w:val="superscript"/>
        </w:rPr>
        <w:t>P294</w:t>
      </w:r>
      <w:r>
        <w:t>，即政策须</w:t>
      </w:r>
      <w:r>
        <w:rPr>
          <w:b/>
        </w:rPr>
        <w:t>与机构规模和性质相称</w:t>
      </w:r>
      <w:r>
        <w:t>；第二，“董事会必须批准金融犯罪防控计划以展示对合规和风险管理的承诺”</w:t>
      </w:r>
      <w:r>
        <w:rPr>
          <w:sz w:val="15"/>
          <w:vertAlign w:val="superscript"/>
        </w:rPr>
        <w:t>P259</w:t>
      </w:r>
      <w:r>
        <w:t>，即须经高级管理层批准；第三，“机构应定期审查和更新这些政策，频率应基于风险性质，通常每年一次”</w:t>
      </w:r>
      <w:r>
        <w:rPr>
          <w:sz w:val="15"/>
          <w:vertAlign w:val="superscript"/>
        </w:rPr>
        <w:t>P293</w:t>
      </w:r>
      <w:r>
        <w:t>，即须定期审查。题干要求识别这三项原则的综合表述，选项A完整包含了</w:t>
      </w:r>
      <w:r>
        <w:rPr>
          <w:b/>
        </w:rPr>
        <w:t>相称性、批准、定期审查</w:t>
      </w:r>
      <w:r>
        <w:t>三个要素，直接匹配教材对AFC政策的核心要求。</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B项错误：教材明确划分三道防线的职责分工：</w:t>
      </w:r>
    </w:p>
    <w:p>
      <w:pPr>
        <w:spacing w:line="360" w:lineRule="auto" w:after="40"/>
        <w:ind w:firstLine="420"/>
      </w:pPr>
      <w:r>
        <w:t>第一道防线聚焦“日常执行准确性”</w:t>
      </w:r>
      <w:r>
        <w:rPr>
          <w:sz w:val="15"/>
          <w:vertAlign w:val="superscript"/>
        </w:rPr>
        <w:t>P256</w:t>
      </w:r>
      <w:r>
        <w:t>，而政策的制定与批准涉及董事会、高级管理层及第二道防线的独立监督</w:t>
      </w:r>
      <w:r>
        <w:rPr>
          <w:sz w:val="15"/>
          <w:vertAlign w:val="superscript"/>
        </w:rPr>
        <w:t>P295</w:t>
      </w:r>
      <w:r>
        <w:t>。“仅由第一道防线”的说法排除了高层战略监督与独立合规审查的角色，与教材的治理结构不符。题干更直接支持多层级治理框架而非单一防线负责。</w:t>
      </w:r>
    </w:p>
    <w:p>
      <w:pPr>
        <w:spacing w:before="120" w:after="40"/>
      </w:pPr>
      <w:r>
        <w:rPr>
          <w:b/>
          <w:sz w:val="21"/>
          <w:shd w:fill="D6E4F0" w:val="clear"/>
        </w:rPr>
        <w:t>C项错误：</w:t>
      </w:r>
    </w:p>
    <w:p>
      <w:pPr>
        <w:spacing w:line="360" w:lineRule="auto" w:after="40"/>
        <w:ind w:firstLine="420"/>
      </w:pPr>
      <w:r>
        <w:t>教材要求“政策的制定和批准应包含法律顾问、其他内部利益相关方以及外部专家参与”</w:t>
      </w:r>
      <w:r>
        <w:rPr>
          <w:sz w:val="15"/>
          <w:vertAlign w:val="superscript"/>
        </w:rPr>
        <w:t>P293</w:t>
      </w:r>
      <w:r>
        <w:t>，但并未将政策完成和验证的全责交给单一的“业务部门”和“外部公司”。政策制定是一个需要多道防线共同参与的过程，包括董事会批准</w:t>
      </w:r>
      <w:r>
        <w:rPr>
          <w:sz w:val="15"/>
          <w:vertAlign w:val="superscript"/>
        </w:rPr>
        <w:t>P259</w:t>
      </w:r>
      <w:r>
        <w:t>和合规职能的独立监督，C选项的参与主体过于局限，匹配度不如A完整。</w:t>
      </w:r>
    </w:p>
    <w:p>
      <w:pPr>
        <w:spacing w:before="120" w:after="40"/>
      </w:pPr>
      <w:r>
        <w:rPr>
          <w:b/>
          <w:sz w:val="21"/>
          <w:shd w:fill="D6E4F0" w:val="clear"/>
        </w:rPr>
        <w:t>D项错误：</w:t>
      </w:r>
    </w:p>
    <w:p>
      <w:pPr>
        <w:spacing w:line="360" w:lineRule="auto" w:after="40"/>
        <w:ind w:firstLine="420"/>
      </w:pPr>
      <w:r>
        <w:t>教材要求金融犯罪防控政策“清晰、基于风险、适应业务模式变化”</w:t>
      </w:r>
      <w:r>
        <w:rPr>
          <w:sz w:val="15"/>
          <w:vertAlign w:val="superscript"/>
        </w:rPr>
        <w:t>P291</w:t>
      </w:r>
      <w:r>
        <w:t>，核心是风险相称性，而非技术复杂度。教材在讨论技术采用时强调需要“战略、运营和合规考量”</w:t>
      </w:r>
      <w:r>
        <w:rPr>
          <w:sz w:val="15"/>
          <w:vertAlign w:val="superscript"/>
        </w:rPr>
        <w:t>P377</w:t>
      </w:r>
      <w:r>
        <w:t>，并指出“基于规则的监控是反洗钱合规的关键但不够充分”</w:t>
      </w:r>
      <w:r>
        <w:rPr>
          <w:sz w:val="15"/>
          <w:vertAlign w:val="superscript"/>
        </w:rPr>
        <w:t>P437</w:t>
      </w:r>
      <w:r>
        <w:t>，但从未将“最新可用技术”“复杂且自动化”作为政策的必备条件。题干的核心是政策治理原则，D选项将技术手段置于治理原则之上，匹配度弱于A。</w:t>
      </w:r>
    </w:p>
    <w:p>
      <w:pPr>
        <w:spacing w:before="120" w:after="40"/>
      </w:pPr>
      <w:r>
        <w:rPr>
          <w:b/>
          <w:sz w:val="21"/>
          <w:shd w:fill="D6E4F0" w:val="clear"/>
        </w:rPr>
        <w:t>易错提醒：</w:t>
      </w:r>
    </w:p>
    <w:p>
      <w:pPr>
        <w:spacing w:line="360" w:lineRule="auto" w:after="40"/>
        <w:ind w:firstLine="420"/>
      </w:pPr>
      <w:r>
        <w:t>选项B容易误选——学生可能将“第一道防线负责日常执行”误解为“政策由第一道防线制定”。教材区分清晰：第一道防线“执行政策并遵循程序”</w:t>
      </w:r>
      <w:r>
        <w:rPr>
          <w:sz w:val="15"/>
          <w:vertAlign w:val="superscript"/>
        </w:rPr>
        <w:t>P257</w:t>
      </w:r>
      <w:r>
        <w:t>，而政策的制定与批准属于董事会和高级管理层的战略职能</w:t>
      </w:r>
      <w:r>
        <w:rPr>
          <w:sz w:val="15"/>
          <w:vertAlign w:val="superscript"/>
        </w:rPr>
        <w:t>P259</w:t>
      </w:r>
      <w:r>
        <w:t>。政策制定与政策执行的责任主体不同。</w:t>
      </w:r>
    </w:p>
    <w:p>
      <w:pPr>
        <w:spacing w:line="360" w:lineRule="auto" w:after="120"/>
      </w:pPr>
      <w:r/>
    </w:p>
    <w:p>
      <w:pPr>
        <w:spacing w:line="360" w:lineRule="auto" w:after="40"/>
      </w:pPr>
      <w:r>
        <w:t>4. How should risk-related issues be addressed to ensure the effectiveness of the three lines of defense model?</w:t>
      </w:r>
    </w:p>
    <w:p>
      <w:pPr>
        <w:spacing w:line="360" w:lineRule="auto" w:after="20"/>
        <w:ind w:firstLine="283"/>
      </w:pPr>
      <w:r>
        <w:t>A. Ensure that the second line reviews, monitors, and escalates risk-related issues as needed to senior management while maintaining independent oversight from the third line</w:t>
      </w:r>
    </w:p>
    <w:p>
      <w:pPr>
        <w:spacing w:line="360" w:lineRule="auto" w:after="20"/>
        <w:ind w:firstLine="283"/>
      </w:pPr>
      <w:r>
        <w:t>B. Have senior management handle risk-related issues directly when possible because they are ultimately responsible for the organization's overall risk management strategy</w:t>
      </w:r>
    </w:p>
    <w:p>
      <w:pPr>
        <w:spacing w:line="360" w:lineRule="auto" w:after="20"/>
        <w:ind w:firstLine="283"/>
      </w:pPr>
      <w:r>
        <w:t>C. Delegate some risk-related issues to the first line to avoid overwhelming the second line and to ensure operational efficiency</w:t>
      </w:r>
    </w:p>
    <w:p>
      <w:pPr>
        <w:spacing w:line="360" w:lineRule="auto" w:after="20"/>
        <w:ind w:firstLine="283"/>
      </w:pPr>
      <w:r>
        <w:t>D. Assign risk-related oversight responsibilities to the third line of defense to provide independent review and resolve issues more effectively by avoiding conflicts of interest between the first and second lines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三道防线模型中各道防线的核心职责定位</w:t>
      </w:r>
    </w:p>
    <w:p>
      <w:pPr>
        <w:spacing w:before="120" w:after="40"/>
      </w:pPr>
      <w:r>
        <w:rPr>
          <w:b/>
          <w:sz w:val="21"/>
          <w:shd w:fill="D6E4F0" w:val="clear"/>
        </w:rPr>
        <w:t>核心解析：</w:t>
      </w:r>
    </w:p>
    <w:p>
      <w:pPr>
        <w:spacing w:line="360" w:lineRule="auto" w:after="40"/>
        <w:ind w:firstLine="420"/>
      </w:pPr>
      <w:r>
        <w:t>三道防线是一种在全企业分配风险管理职责的治理模型，各道防线有明确的角色定义和制衡流程</w:t>
      </w:r>
      <w:r>
        <w:rPr>
          <w:sz w:val="15"/>
          <w:vertAlign w:val="superscript"/>
        </w:rPr>
        <w:t>P246</w:t>
      </w:r>
      <w:r>
        <w:t>。其中第二道防线的核心职责是</w:t>
      </w:r>
      <w:r>
        <w:rPr>
          <w:b/>
        </w:rPr>
        <w:t>提供独立监督、政策执行和风险评估</w:t>
      </w:r>
      <w:r>
        <w:rPr>
          <w:sz w:val="15"/>
          <w:vertAlign w:val="superscript"/>
        </w:rPr>
        <w:t>P295</w:t>
      </w:r>
      <w:r>
        <w:t>，具体包括监控活动有效性、进行合规监控和测试</w:t>
      </w:r>
      <w:r>
        <w:rPr>
          <w:sz w:val="15"/>
          <w:vertAlign w:val="superscript"/>
        </w:rPr>
        <w:t>P246、P250</w:t>
      </w:r>
      <w:r>
        <w:t>。题干要求“确保三道防线模型的有效性”，直接对应A项所述：第二道防线审查、监控风险相关事项，并在必要时向高级管理层升级报告，同时由第三道防线实施独立监督。这一描述精确吻合教材对第二道防线职能的定义，也体现了三道防线之间职责分离又协作制衡的核心机制。</w:t>
      </w:r>
    </w:p>
    <w:p>
      <w:pPr>
        <w:spacing w:before="120" w:after="40"/>
      </w:pPr>
      <w:r>
        <w:rPr>
          <w:b/>
          <w:sz w:val="21"/>
          <w:shd w:fill="D6E4F0" w:val="clear"/>
        </w:rPr>
        <w:t>教材原句：</w:t>
      </w:r>
    </w:p>
    <w:p>
      <w:pPr>
        <w:spacing w:line="360" w:lineRule="auto" w:after="40"/>
        <w:ind w:firstLine="420"/>
      </w:pPr>
      <w:r>
        <w:t>"The second line of defense to provide independent oversight, policy enforcement, and risk assessments (in addition to the MLRO, if needed)."</w:t>
      </w:r>
    </w:p>
    <w:p>
      <w:pPr>
        <w:spacing w:before="120" w:after="40"/>
      </w:pPr>
      <w:r>
        <w:rPr>
          <w:b/>
          <w:sz w:val="21"/>
          <w:shd w:fill="D6E4F0" w:val="clear"/>
        </w:rPr>
        <w:t>B项错误：</w:t>
      </w:r>
    </w:p>
    <w:p>
      <w:pPr>
        <w:spacing w:line="360" w:lineRule="auto" w:after="40"/>
        <w:ind w:firstLine="420"/>
      </w:pPr>
      <w:r>
        <w:t>高级管理层的角色是通过风险管理委员会监控合规情况、提供战略方向与资源</w:t>
      </w:r>
      <w:r>
        <w:rPr>
          <w:sz w:val="15"/>
          <w:vertAlign w:val="superscript"/>
        </w:rPr>
        <w:t>P295</w:t>
      </w:r>
      <w:r>
        <w:t>，而非“直接处理”风险相关问题。三道防线的核心在于将风险管理职责分配到各防线</w:t>
      </w:r>
      <w:r>
        <w:rPr>
          <w:sz w:val="15"/>
          <w:vertAlign w:val="superscript"/>
        </w:rPr>
        <w:t>P246</w:t>
      </w:r>
      <w:r>
        <w:t>，让高管越过防线直接处理反而破坏模型结构，不如A项分层履职更直接匹配模型机制。</w:t>
      </w:r>
    </w:p>
    <w:p>
      <w:pPr>
        <w:spacing w:before="120" w:after="40"/>
      </w:pPr>
      <w:r>
        <w:rPr>
          <w:b/>
          <w:sz w:val="21"/>
          <w:shd w:fill="D6E4F0" w:val="clear"/>
        </w:rPr>
        <w:t>C项错误：</w:t>
      </w:r>
    </w:p>
    <w:p>
      <w:pPr>
        <w:spacing w:line="360" w:lineRule="auto" w:after="40"/>
        <w:ind w:firstLine="420"/>
      </w:pPr>
      <w:r>
        <w:t>第一道防线由面向客户的员工组成，负责在日常运营中实施金融犯罪防控政策</w:t>
      </w:r>
      <w:r>
        <w:rPr>
          <w:sz w:val="15"/>
          <w:vertAlign w:val="superscript"/>
        </w:rPr>
        <w:t>P295</w:t>
      </w:r>
      <w:r>
        <w:t>，其职责是执行而非承接第二道防线“下放”的风险问题。C项以“避免第二线不堪重负”为由重新分配职责，与三道防线模型按角色定义各司其职的原则不一致，不如A项紧扣每道防线的既有职能定位。</w:t>
      </w:r>
    </w:p>
    <w:p>
      <w:pPr>
        <w:spacing w:before="120" w:after="40"/>
      </w:pPr>
      <w:r>
        <w:rPr>
          <w:b/>
          <w:sz w:val="21"/>
          <w:shd w:fill="D6E4F0" w:val="clear"/>
        </w:rPr>
        <w:t>D项错误：</w:t>
      </w:r>
    </w:p>
    <w:p>
      <w:pPr>
        <w:spacing w:line="360" w:lineRule="auto" w:after="40"/>
        <w:ind w:firstLine="420"/>
      </w:pPr>
      <w:r>
        <w:t>第三道防线是内部审计职能，独立审查前两道防线的风险管理与控制有效性</w:t>
      </w:r>
      <w:r>
        <w:rPr>
          <w:sz w:val="15"/>
          <w:vertAlign w:val="superscript"/>
        </w:rPr>
        <w:t>P246</w:t>
      </w:r>
      <w:r>
        <w:t>，其核心价值恰恰在于不承担运营层面的“监督职责”以保持客观性。将日常监督职责分配给第三道防线会导致自我审查的冲突，不如A项保持各道防线的职责分离更契合教材对三道防线模型的设计。</w:t>
      </w:r>
    </w:p>
    <w:p>
      <w:pPr>
        <w:spacing w:before="120" w:after="40"/>
      </w:pPr>
      <w:r>
        <w:rPr>
          <w:b/>
          <w:sz w:val="21"/>
          <w:shd w:fill="D6E4F0" w:val="clear"/>
        </w:rPr>
        <w:t>易错提醒：</w:t>
      </w:r>
    </w:p>
    <w:p>
      <w:pPr>
        <w:spacing w:line="360" w:lineRule="auto" w:after="40"/>
        <w:ind w:firstLine="420"/>
      </w:pPr>
      <w:r>
        <w:t>高级管理层的最终责任不等于直接处理操作——高管负责战略监督和问责</w:t>
      </w:r>
      <w:r>
        <w:rPr>
          <w:sz w:val="15"/>
          <w:vertAlign w:val="superscript"/>
        </w:rPr>
        <w:t>P295</w:t>
      </w:r>
      <w:r>
        <w:t>，而具体风险审查和监控由第二道防线执行</w:t>
      </w:r>
      <w:r>
        <w:rPr>
          <w:sz w:val="15"/>
          <w:vertAlign w:val="superscript"/>
        </w:rPr>
        <w:t>P295</w:t>
      </w:r>
      <w:r>
        <w:t>。题干问“如何处理风险相关问题以确保模型有效性”问的是执行层面的防范职责，而非战略层面的终极问责。</w:t>
      </w:r>
    </w:p>
    <w:p>
      <w:pPr>
        <w:spacing w:line="360" w:lineRule="auto" w:after="120"/>
      </w:pPr>
      <w:r/>
    </w:p>
    <w:p>
      <w:pPr>
        <w:spacing w:line="360" w:lineRule="auto" w:after="40"/>
      </w:pPr>
      <w:r>
        <w:t>5. Which key metric provides senior management with information about the effectiveness of its AML controls?</w:t>
      </w:r>
    </w:p>
    <w:p>
      <w:pPr>
        <w:spacing w:line="360" w:lineRule="auto" w:after="20"/>
        <w:ind w:firstLine="283"/>
      </w:pPr>
      <w:r>
        <w:t>A. The ratio of true positives to false positives generated by the automated monitoring system</w:t>
      </w:r>
    </w:p>
    <w:p>
      <w:pPr>
        <w:spacing w:line="360" w:lineRule="auto" w:after="20"/>
        <w:ind w:firstLine="283"/>
      </w:pPr>
      <w:r>
        <w:t>B. The number of money laundering alerts generated by the watchlist screening system</w:t>
      </w:r>
    </w:p>
    <w:p>
      <w:pPr>
        <w:spacing w:line="360" w:lineRule="auto" w:after="20"/>
        <w:ind w:firstLine="283"/>
      </w:pPr>
      <w:r>
        <w:t>C. The number of high-risk customers onboarded each month</w:t>
      </w:r>
    </w:p>
    <w:p>
      <w:pPr>
        <w:spacing w:line="360" w:lineRule="auto" w:after="20"/>
        <w:ind w:firstLine="283"/>
      </w:pPr>
      <w:r>
        <w:t>D. The number of clients exited for commercial reasons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区分关键绩效指标（KPI）与关键风险指标（KRI）</w:t>
      </w:r>
    </w:p>
    <w:p>
      <w:pPr>
        <w:spacing w:before="120" w:after="40"/>
      </w:pPr>
      <w:r>
        <w:rPr>
          <w:b/>
          <w:sz w:val="21"/>
          <w:shd w:fill="D6E4F0" w:val="clear"/>
        </w:rPr>
        <w:t>核心解析：</w:t>
      </w:r>
    </w:p>
    <w:p>
      <w:pPr>
        <w:spacing w:line="360" w:lineRule="auto" w:after="40"/>
        <w:ind w:firstLine="420"/>
      </w:pPr>
      <w:r>
        <w:t>教材将关键绩效指标（KPI）定义为</w:t>
      </w:r>
      <w:r>
        <w:rPr>
          <w:b/>
        </w:rPr>
        <w:t>衡量金融犯罪防控控制有效性的指标</w:t>
      </w:r>
      <w:r>
        <w:t>，示例包括可疑活动报告提交时限、筛查误报降低情况及警报解决时间</w:t>
      </w:r>
      <w:r>
        <w:rPr>
          <w:sz w:val="15"/>
          <w:vertAlign w:val="superscript"/>
        </w:rPr>
        <w:t>P296</w:t>
      </w:r>
      <w:r>
        <w:t>。教材还指出，机构应通过监测技术生成更有用的警报，并减少误报造成的无效工作</w:t>
      </w:r>
      <w:r>
        <w:rPr>
          <w:sz w:val="15"/>
          <w:vertAlign w:val="superscript"/>
        </w:rPr>
        <w:t>P330</w:t>
      </w:r>
      <w:r>
        <w:t>。选项A比较自动监测系统生成的真阳性和假阳性，能够反映有效警报与误报警报之间的相对关系，因此可以帮助管理层判断系统警报的产出质量。在四个选项中，A与控制有效性的关系最直接，因此正确。需要注意，该比值只能反映控制有效性的一个侧面，不能替代对假阴性、风险覆盖率、警报解决时间和可疑活动报告提交时限等指标的综合评估。</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B项错误：</w:t>
      </w:r>
    </w:p>
    <w:p>
      <w:pPr>
        <w:spacing w:line="360" w:lineRule="auto" w:after="40"/>
        <w:ind w:firstLine="420"/>
      </w:pPr>
      <w:r>
        <w:t>警报总数只能反映系统产生了多少工作，并不能说明这些警报是否准确或有用。大量警报可能包含大量误报。教材强调的是生成“更有用的警报”并减少误报造成的无效工作</w:t>
      </w:r>
      <w:r>
        <w:rPr>
          <w:sz w:val="15"/>
          <w:vertAlign w:val="superscript"/>
        </w:rPr>
        <w:t>P330</w:t>
      </w:r>
      <w:r>
        <w:t>，而不是单纯追求更高的警报数量，因此B不如A。</w:t>
      </w:r>
    </w:p>
    <w:p>
      <w:pPr>
        <w:spacing w:before="120" w:after="40"/>
      </w:pPr>
      <w:r>
        <w:rPr>
          <w:b/>
          <w:sz w:val="21"/>
          <w:shd w:fill="D6E4F0" w:val="clear"/>
        </w:rPr>
        <w:t>C项错误：</w:t>
      </w:r>
    </w:p>
    <w:p>
      <w:pPr>
        <w:spacing w:line="360" w:lineRule="auto" w:after="40"/>
        <w:ind w:firstLine="420"/>
      </w:pPr>
      <w:r>
        <w:t>每月准入的高风险客户数量反映机构的客户风险结构和风险敞口，但不能直接说明客户尽职调查、交易监控或其他反洗钱控制是否有效运行。题干问的是控制有效性，A比C更直接。</w:t>
      </w:r>
    </w:p>
    <w:p>
      <w:pPr>
        <w:spacing w:before="120" w:after="40"/>
      </w:pPr>
      <w:r>
        <w:rPr>
          <w:b/>
          <w:sz w:val="21"/>
          <w:shd w:fill="D6E4F0" w:val="clear"/>
        </w:rPr>
        <w:t>D项错误：</w:t>
      </w:r>
    </w:p>
    <w:p>
      <w:pPr>
        <w:spacing w:line="360" w:lineRule="auto" w:after="40"/>
        <w:ind w:firstLine="420"/>
      </w:pPr>
      <w:r>
        <w:t>因商业原因退出客户属于业务决策。除非退出原因涉及金融犯罪风险，否则这一数量不能直接反映反洗钱控制措施的准确性或运行效果。</w:t>
      </w:r>
    </w:p>
    <w:p>
      <w:pPr>
        <w:spacing w:before="120" w:after="40"/>
      </w:pPr>
      <w:r>
        <w:rPr>
          <w:b/>
          <w:sz w:val="21"/>
          <w:shd w:fill="D6E4F0" w:val="clear"/>
        </w:rPr>
        <w:t>易错提醒：</w:t>
      </w:r>
    </w:p>
    <w:p>
      <w:pPr>
        <w:spacing w:line="360" w:lineRule="auto" w:after="40"/>
        <w:ind w:firstLine="420"/>
      </w:pPr>
      <w:r>
        <w:t>KPI关注控制措施“运行得怎么样”，KRI关注机构“面临多大风险”</w:t>
      </w:r>
      <w:r>
        <w:rPr>
          <w:sz w:val="15"/>
          <w:vertAlign w:val="superscript"/>
        </w:rPr>
        <w:t>P296</w:t>
      </w:r>
      <w:r>
        <w:t>。还要注意不同统计指标不能混用：TP/FP表示真阳性与假阳性的相对比值；误报率通常为FP/(FP+TN)；警报中的误报占比为FP/(TP+FP)。选项A是四项中最能反映警报质量的指标，但不是对整体反洗钱控制有效性的完整评价。</w:t>
      </w:r>
    </w:p>
    <w:p>
      <w:pPr>
        <w:spacing w:line="360" w:lineRule="auto" w:after="120"/>
      </w:pPr>
      <w:r/>
    </w:p>
    <w:p>
      <w:pPr>
        <w:spacing w:line="360" w:lineRule="auto" w:after="40"/>
      </w:pPr>
      <w:r>
        <w:t>6. In order to prevent financial crime risk, the implemented policies, controls, and procedures must:</w:t>
      </w:r>
    </w:p>
    <w:p>
      <w:pPr>
        <w:spacing w:line="360" w:lineRule="auto" w:after="20"/>
        <w:ind w:firstLine="283"/>
      </w:pPr>
      <w:r>
        <w:t>A. Include sophisticated and automated controls that use the newest types of technology available, for example artificial intelligence (AI) and machine learning</w:t>
      </w:r>
    </w:p>
    <w:p>
      <w:pPr>
        <w:spacing w:line="360" w:lineRule="auto" w:after="20"/>
        <w:ind w:firstLine="283"/>
      </w:pPr>
      <w:r>
        <w:t>B. Be proportionate with regard to the size and nature of the firm, approved by senior management, and regularly reviewed</w:t>
      </w:r>
    </w:p>
    <w:p>
      <w:pPr>
        <w:spacing w:line="360" w:lineRule="auto" w:after="20"/>
        <w:ind w:firstLine="283"/>
      </w:pPr>
      <w:r>
        <w:t>C. Be completed by the business and validated by an external firm, for example an auditing or consulting firm</w:t>
      </w:r>
    </w:p>
    <w:p>
      <w:pPr>
        <w:spacing w:line="360" w:lineRule="auto" w:after="20"/>
        <w:ind w:firstLine="283"/>
      </w:pPr>
      <w:r>
        <w:t>D. Be created, approved, and owned only by first-line business teams, and reviewed annually</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金融犯罪防控政策的核心必备要素</w:t>
      </w:r>
    </w:p>
    <w:p>
      <w:pPr>
        <w:spacing w:before="120" w:after="40"/>
      </w:pPr>
      <w:r>
        <w:rPr>
          <w:b/>
          <w:sz w:val="21"/>
          <w:shd w:fill="D6E4F0" w:val="clear"/>
        </w:rPr>
        <w:t>核心解析：</w:t>
      </w:r>
    </w:p>
    <w:p>
      <w:pPr>
        <w:spacing w:line="360" w:lineRule="auto" w:after="40"/>
        <w:ind w:firstLine="420"/>
      </w:pPr>
      <w:r>
        <w:t>金融犯罪防控政策和程序应根据组织的具体风险状况、风险偏好和规模</w:t>
      </w:r>
      <w:r>
        <w:rPr>
          <w:b/>
        </w:rPr>
        <w:t>量身定制</w:t>
      </w:r>
      <w:r>
        <w:t>，不能脱离机构实际采用一刀切方案</w:t>
      </w:r>
      <w:r>
        <w:rPr>
          <w:sz w:val="15"/>
          <w:vertAlign w:val="superscript"/>
        </w:rPr>
        <w:t>P294</w:t>
      </w:r>
      <w:r>
        <w:t>。治理方面，董事会和高级领导层必须积极监督反洗钱合规，董事会必须认可金融犯罪防控计划</w:t>
      </w:r>
      <w:r>
        <w:rPr>
          <w:sz w:val="15"/>
          <w:vertAlign w:val="superscript"/>
        </w:rPr>
        <w:t>P259、P289</w:t>
      </w:r>
      <w:r>
        <w:t>；维护方面，机构应定期审查和更新政策，通常每年一次，但具体频率由风险性质决定</w:t>
      </w:r>
      <w:r>
        <w:rPr>
          <w:sz w:val="15"/>
          <w:vertAlign w:val="superscript"/>
        </w:rPr>
        <w:t>P293</w:t>
      </w:r>
      <w:r>
        <w:t>。题干要求从四项中选出政策、控制和程序必须具备的特征。选项B同时覆盖与机构实际相称、</w:t>
      </w:r>
      <w:r>
        <w:rPr>
          <w:b/>
        </w:rPr>
        <w:t>由治理层批准和持续复核</w:t>
      </w:r>
      <w:r>
        <w:t>三个维度；相比只强调最新技术、外部验证或第一道防线单独所有，它最完整地承接上述教材要求，因此选B。</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A项错误：</w:t>
      </w:r>
    </w:p>
    <w:p>
      <w:pPr>
        <w:spacing w:line="360" w:lineRule="auto" w:after="40"/>
        <w:ind w:firstLine="420"/>
      </w:pPr>
      <w:r>
        <w:t>教材要求机构投资“适当且有效”的合规策略和先进监控技术，并在日本监管语境下鼓励使用AI和机器学习</w:t>
      </w:r>
      <w:r>
        <w:rPr>
          <w:sz w:val="15"/>
          <w:vertAlign w:val="superscript"/>
        </w:rPr>
        <w:t>P44、P201</w:t>
      </w:r>
      <w:r>
        <w:t>。这不等于所有机构都必须采用“最新”技术或复杂自动化控制；技术选择仍应服从机构风险和规模</w:t>
      </w:r>
      <w:r>
        <w:rPr>
          <w:sz w:val="15"/>
          <w:vertAlign w:val="superscript"/>
        </w:rPr>
        <w:t>P294</w:t>
      </w:r>
      <w:r>
        <w:t>。B比A更符合题干所问的普遍要求。</w:t>
      </w:r>
    </w:p>
    <w:p>
      <w:pPr>
        <w:spacing w:before="120" w:after="40"/>
      </w:pPr>
      <w:r>
        <w:rPr>
          <w:b/>
          <w:sz w:val="21"/>
          <w:shd w:fill="D6E4F0" w:val="clear"/>
        </w:rPr>
        <w:t>C项错误：</w:t>
      </w:r>
    </w:p>
    <w:p>
      <w:pPr>
        <w:spacing w:line="360" w:lineRule="auto" w:after="40"/>
        <w:ind w:firstLine="420"/>
      </w:pPr>
      <w:r>
        <w:t>独立审计可以评估第一、二道防线控制的有效性</w:t>
      </w:r>
      <w:r>
        <w:rPr>
          <w:sz w:val="15"/>
          <w:vertAlign w:val="superscript"/>
        </w:rPr>
        <w:t>P257</w:t>
      </w:r>
      <w:r>
        <w:t>，政策制定和批准也可在适当情况下吸收外部专家参与</w:t>
      </w:r>
      <w:r>
        <w:rPr>
          <w:sz w:val="15"/>
          <w:vertAlign w:val="superscript"/>
        </w:rPr>
        <w:t>P293</w:t>
      </w:r>
      <w:r>
        <w:t>，但这不等于所有政策都必须由外部审计或咨询公司验证。C把可选择的外部参与扩大为普遍前提。</w:t>
      </w:r>
    </w:p>
    <w:p>
      <w:pPr>
        <w:spacing w:before="120" w:after="40"/>
      </w:pPr>
      <w:r>
        <w:rPr>
          <w:b/>
          <w:sz w:val="21"/>
          <w:shd w:fill="D6E4F0" w:val="clear"/>
        </w:rPr>
        <w:t>D项错误：</w:t>
      </w:r>
    </w:p>
    <w:p>
      <w:pPr>
        <w:spacing w:line="360" w:lineRule="auto" w:after="40"/>
        <w:ind w:firstLine="420"/>
      </w:pPr>
      <w:r>
        <w:t>政策的制定和批准应有法律顾问、其他内部利益相关方以及适当的外部专家参与</w:t>
      </w:r>
      <w:r>
        <w:rPr>
          <w:sz w:val="15"/>
          <w:vertAlign w:val="superscript"/>
        </w:rPr>
        <w:t>P293</w:t>
      </w:r>
      <w:r>
        <w:t>，董事会和高级领导层还负有监督职责</w:t>
      </w:r>
      <w:r>
        <w:rPr>
          <w:sz w:val="15"/>
          <w:vertAlign w:val="superscript"/>
        </w:rPr>
        <w:t>P289</w:t>
      </w:r>
      <w:r>
        <w:t>。D中的“仅由第一道防线”排除了这些治理和协作主体；其固定“每年”审查也忽略了审查频率应由风险性质驱动</w:t>
      </w:r>
      <w:r>
        <w:rPr>
          <w:sz w:val="15"/>
          <w:vertAlign w:val="superscript"/>
        </w:rPr>
        <w:t>P293</w:t>
      </w:r>
      <w:r>
        <w:t>。</w:t>
      </w:r>
    </w:p>
    <w:p>
      <w:pPr>
        <w:spacing w:before="120" w:after="40"/>
      </w:pPr>
      <w:r>
        <w:rPr>
          <w:b/>
          <w:sz w:val="21"/>
          <w:shd w:fill="D6E4F0" w:val="clear"/>
        </w:rPr>
        <w:t>易错提醒：</w:t>
      </w:r>
    </w:p>
    <w:p>
      <w:pPr>
        <w:spacing w:line="360" w:lineRule="auto" w:after="40"/>
        <w:ind w:firstLine="420"/>
      </w:pPr>
      <w:r>
        <w:t>题干中的“必须”考查普遍治理要求。技术、外部专家和独立审计都可能有价值，但不能因此推成每家机构都必须采用最新技术或外部验证；先看措施是否与机构风险和规模相称</w:t>
      </w:r>
      <w:r>
        <w:rPr>
          <w:sz w:val="15"/>
          <w:vertAlign w:val="superscript"/>
        </w:rPr>
        <w:t>P294</w:t>
      </w:r>
      <w:r>
        <w:t>、是否有治理层监督</w:t>
      </w:r>
      <w:r>
        <w:rPr>
          <w:sz w:val="15"/>
          <w:vertAlign w:val="superscript"/>
        </w:rPr>
        <w:t>P289</w:t>
      </w:r>
      <w:r>
        <w:t>、是否持续更新</w:t>
      </w:r>
      <w:r>
        <w:rPr>
          <w:sz w:val="15"/>
          <w:vertAlign w:val="superscript"/>
        </w:rPr>
        <w:t>P293</w:t>
      </w:r>
      <w:r>
        <w:t>。</w:t>
      </w:r>
    </w:p>
    <w:p>
      <w:pPr>
        <w:spacing w:line="360" w:lineRule="auto" w:after="120"/>
      </w:pPr>
      <w:r/>
    </w:p>
    <w:p>
      <w:pPr>
        <w:spacing w:line="360" w:lineRule="auto" w:after="40"/>
      </w:pPr>
      <w:r>
        <w:t>7. Having a risk-based approach is central to a financial institution's understanding of the money laundering and terrorist financing risks to which it is exposed. The development of a money laundering and terrorist financing risk assessment is a key starting point. Commonly used risk factors include: (Select three.)</w:t>
      </w:r>
    </w:p>
    <w:p>
      <w:pPr>
        <w:spacing w:line="360" w:lineRule="auto" w:after="20"/>
        <w:ind w:firstLine="283"/>
      </w:pPr>
      <w:r>
        <w:t>A. Product risk.</w:t>
      </w:r>
    </w:p>
    <w:p>
      <w:pPr>
        <w:spacing w:line="360" w:lineRule="auto" w:after="20"/>
        <w:ind w:firstLine="283"/>
      </w:pPr>
      <w:r>
        <w:t>B. Credit risk.</w:t>
      </w:r>
    </w:p>
    <w:p>
      <w:pPr>
        <w:spacing w:line="360" w:lineRule="auto" w:after="20"/>
        <w:ind w:firstLine="283"/>
      </w:pPr>
      <w:r>
        <w:t>C. Geographic risk.</w:t>
      </w:r>
    </w:p>
    <w:p>
      <w:pPr>
        <w:spacing w:line="360" w:lineRule="auto" w:after="20"/>
        <w:ind w:firstLine="283"/>
      </w:pPr>
      <w:r>
        <w:t>D. Customer risk.</w:t>
      </w:r>
    </w:p>
    <w:p>
      <w:pPr>
        <w:spacing w:line="360" w:lineRule="auto" w:after="20"/>
        <w:ind w:firstLine="283"/>
      </w:pPr>
      <w:r>
        <w:t>E. Liquidity risk.</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洗钱/恐怖融资风险评估中识别固有风险的四大核心类别</w:t>
      </w:r>
    </w:p>
    <w:p>
      <w:pPr>
        <w:spacing w:before="120" w:after="40"/>
      </w:pPr>
      <w:r>
        <w:rPr>
          <w:b/>
          <w:sz w:val="21"/>
          <w:shd w:fill="D6E4F0" w:val="clear"/>
        </w:rPr>
        <w:t>核心解析：</w:t>
      </w:r>
    </w:p>
    <w:p>
      <w:pPr>
        <w:spacing w:line="360" w:lineRule="auto" w:after="40"/>
        <w:ind w:firstLine="420"/>
      </w:pPr>
      <w:r>
        <w:t>在制定机构自身的洗钱/恐怖融资风险评估时，国际反洗钱标准要求机构识别其面临的固有风险，这通常围绕几个关键维度展开。教材指出，收集数据的第一步就是“收集关于客户、司法管辖区、产品和渠道的信息”</w:t>
      </w:r>
      <w:r>
        <w:rPr>
          <w:sz w:val="15"/>
          <w:vertAlign w:val="superscript"/>
        </w:rPr>
        <w:t>P268</w:t>
      </w:r>
      <w:r>
        <w:t>，这直接对应了</w:t>
      </w:r>
      <w:r>
        <w:rPr>
          <w:b/>
        </w:rPr>
        <w:t>客户风险、地理风险、产品风险、渠道风险四大类别</w:t>
      </w:r>
      <w:r>
        <w:t>。随后，评估会逐一对各类别进行分析：“客户风险评级考虑其行业、交易量、腐败指数和地理位置”，“判断产品风险需考虑其复杂性、潜在滥用或对非法活动的吸引力”</w:t>
      </w:r>
      <w:r>
        <w:rPr>
          <w:sz w:val="15"/>
          <w:vertAlign w:val="superscript"/>
        </w:rPr>
        <w:t>P275</w:t>
      </w:r>
      <w:r>
        <w:t>，“判断司法管辖区风险涉及评估政治稳定性、监管环境和制裁状况”。此外，在制定基于风险的政策时，教材再次强调，政策必须“根据机构的风险敞口、客户概况和地理风险因素量身定制”</w:t>
      </w:r>
      <w:r>
        <w:rPr>
          <w:sz w:val="15"/>
          <w:vertAlign w:val="superscript"/>
        </w:rPr>
        <w:t>P292</w:t>
      </w:r>
      <w:r>
        <w:t>。由此可见，客户风险、地理风险和产品风险是教材反复确认的洗钱/恐怖融资风险评估中最常用、最核心的危险因素类别。</w:t>
      </w:r>
    </w:p>
    <w:p>
      <w:pPr>
        <w:spacing w:before="120" w:after="40"/>
      </w:pPr>
      <w:r>
        <w:rPr>
          <w:b/>
          <w:sz w:val="21"/>
          <w:shd w:fill="D6E4F0" w:val="clear"/>
        </w:rPr>
        <w:t>教材原句：</w:t>
      </w:r>
    </w:p>
    <w:p>
      <w:pPr>
        <w:spacing w:line="360" w:lineRule="auto" w:after="40"/>
        <w:ind w:firstLine="420"/>
      </w:pPr>
      <w:r>
        <w:t>"To follow a risk-based approach, policies must be tailored to institutional risk exposure, customer profiles, and geographic risk factors."</w:t>
      </w:r>
      <w:r>
        <w:rPr>
          <w:sz w:val="15"/>
          <w:vertAlign w:val="superscript"/>
        </w:rPr>
        <w:t>P292</w:t>
      </w:r>
    </w:p>
    <w:p>
      <w:pPr>
        <w:spacing w:before="120" w:after="40"/>
      </w:pPr>
      <w:r>
        <w:rPr>
          <w:b/>
          <w:sz w:val="21"/>
          <w:shd w:fill="D6E4F0" w:val="clear"/>
        </w:rPr>
        <w:t>B项错误：</w:t>
      </w:r>
    </w:p>
    <w:p>
      <w:pPr>
        <w:spacing w:line="360" w:lineRule="auto" w:after="40"/>
        <w:ind w:firstLine="420"/>
      </w:pPr>
      <w:r>
        <w:t>“信用风险”（Credit risk）在教材中被定义为“借款人违约导致的潜在损失”</w:t>
      </w:r>
      <w:r>
        <w:rPr>
          <w:sz w:val="15"/>
          <w:vertAlign w:val="superscript"/>
        </w:rPr>
        <w:t>P243</w:t>
      </w:r>
      <w:r>
        <w:t>，其主管部门的核心工作是“评估信贷请求并收集客户信用状况数据”。这是金融机构面对的众多传统风险（如操作风险、市场风险）之一，而本题聚焦于洗钱和恐怖融资场景下的风险评估，两者属于不同管理范畴。题干所问的“洗钱和恐怖融资风险评估”更直接匹配于产品、客户、地理和渠道等维度</w:t>
      </w:r>
      <w:r>
        <w:rPr>
          <w:sz w:val="15"/>
          <w:vertAlign w:val="superscript"/>
        </w:rPr>
        <w:t>P268、P270、P275</w:t>
      </w:r>
      <w:r>
        <w:t>，而非信用风险。</w:t>
      </w:r>
    </w:p>
    <w:p>
      <w:pPr>
        <w:spacing w:before="120" w:after="40"/>
      </w:pPr>
      <w:r>
        <w:rPr>
          <w:b/>
          <w:sz w:val="21"/>
          <w:shd w:fill="D6E4F0" w:val="clear"/>
        </w:rPr>
        <w:t>E项错误：</w:t>
      </w:r>
    </w:p>
    <w:p>
      <w:pPr>
        <w:spacing w:line="360" w:lineRule="auto" w:after="40"/>
        <w:ind w:firstLine="420"/>
      </w:pPr>
      <w:r>
        <w:t>“流动性风险”（Liquidity risk）在教材中被归类为“财资与资本风险”的一部分，指“机构偿还其金融债务的能力”</w:t>
      </w:r>
      <w:r>
        <w:rPr>
          <w:sz w:val="15"/>
          <w:vertAlign w:val="superscript"/>
        </w:rPr>
        <w:t>P243</w:t>
      </w:r>
      <w:r>
        <w:t>，属于财务稳健性管理范畴。尽管在某些业务报告（如资本市场）中，“流动性高”可能被描述为对洗钱有“吸引力”，但这将流动性作为一种交易的“特征”而非需评估的“风险主体”。相比之下，产品、客户和地理风险是教材在阐述洗钱/恐怖融资风险评估方法论时直接列出的核心分析单元，与题干的匹配度更为直接。</w:t>
      </w:r>
    </w:p>
    <w:p>
      <w:pPr>
        <w:spacing w:before="120" w:after="40"/>
      </w:pPr>
      <w:r>
        <w:rPr>
          <w:b/>
          <w:sz w:val="21"/>
          <w:shd w:fill="D6E4F0" w:val="clear"/>
        </w:rPr>
        <w:t>易错提醒：</w:t>
      </w:r>
    </w:p>
    <w:p>
      <w:pPr>
        <w:spacing w:line="360" w:lineRule="auto" w:after="40"/>
        <w:ind w:firstLine="420"/>
      </w:pPr>
      <w:r>
        <w:t>机构面临的各类风险（信用、流动性、操作风险等）统称为“机构风险”，由企业风险管理框架（ERM）统筹；而洗钱/恐怖融资风险特指机构被犯罪分子利用进行非法资金转移和清洗的暴露程度，评估时聚焦于产品、客户、地理和渠道这四个维度的固有风险</w:t>
      </w:r>
      <w:r>
        <w:rPr>
          <w:sz w:val="15"/>
          <w:vertAlign w:val="superscript"/>
        </w:rPr>
        <w:t>P268、P270、P275</w:t>
      </w:r>
      <w:r>
        <w:t>。试题常常将两者混合，需注意题干是否限定了“洗钱/恐怖融资”这一评估场景。</w:t>
      </w:r>
    </w:p>
    <w:p>
      <w:pPr>
        <w:spacing w:line="360" w:lineRule="auto" w:after="120"/>
      </w:pPr>
      <w:r/>
    </w:p>
    <w:p>
      <w:pPr>
        <w:spacing w:line="360" w:lineRule="auto" w:after="40"/>
      </w:pPr>
      <w:r>
        <w:t>8. A compliance officer is developing management reporting information to provide leadership with insights into the financial crime risk related to an institution's customer population. Which of the following is a key risk indicator to include in the reporting to allow leadership to monitor whether there are any key changes to the inherent risk of the customer population? (Choose two.)</w:t>
      </w:r>
    </w:p>
    <w:p>
      <w:pPr>
        <w:spacing w:line="360" w:lineRule="auto" w:after="20"/>
        <w:ind w:firstLine="283"/>
      </w:pPr>
      <w:r>
        <w:t>A. Percentage of regulatory reports for high-risk customers not completed within the required regulatory deadlines</w:t>
      </w:r>
    </w:p>
    <w:p>
      <w:pPr>
        <w:spacing w:line="360" w:lineRule="auto" w:after="20"/>
        <w:ind w:firstLine="283"/>
      </w:pPr>
      <w:r>
        <w:t>B. Percentage change of transaction monitoring alerts escalated for investigation compared to the previous quarter</w:t>
      </w:r>
    </w:p>
    <w:p>
      <w:pPr>
        <w:spacing w:line="360" w:lineRule="auto" w:after="20"/>
        <w:ind w:firstLine="283"/>
      </w:pPr>
      <w:r>
        <w:t>C. Percentage of customers for whom onboarding verification was not completed within KYC policy service-level agreement (SLA) requirements</w:t>
      </w:r>
    </w:p>
    <w:p>
      <w:pPr>
        <w:spacing w:line="360" w:lineRule="auto" w:after="20"/>
        <w:ind w:firstLine="283"/>
      </w:pPr>
      <w:r>
        <w:t>D. Number and percentage of newly onboarded senior politically exposed persons (PEPs) in the past quarter compared to all active customers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区分关键风险指标（KRI）与关键绩效指标（KPI）</w:t>
      </w:r>
    </w:p>
    <w:p>
      <w:pPr>
        <w:spacing w:before="120" w:after="40"/>
      </w:pPr>
      <w:r>
        <w:rPr>
          <w:b/>
          <w:sz w:val="21"/>
          <w:shd w:fill="D6E4F0" w:val="clear"/>
        </w:rPr>
        <w:t>核心解析：</w:t>
      </w:r>
    </w:p>
    <w:p>
      <w:pPr>
        <w:spacing w:line="360" w:lineRule="auto" w:after="40"/>
        <w:ind w:firstLine="420"/>
      </w:pPr>
      <w:r>
        <w:t>关键风险指标（KRI）是用来评估反金融犯罪风险的定量和定性指标，旨在识别潜在薄弱环节</w:t>
      </w:r>
      <w:r>
        <w:rPr>
          <w:sz w:val="15"/>
          <w:vertAlign w:val="superscript"/>
        </w:rPr>
        <w:t>P296</w:t>
      </w:r>
      <w:r>
        <w:t>。它衡量的是风险本身，如可疑交易量和趋势</w:t>
      </w:r>
      <w:r>
        <w:rPr>
          <w:sz w:val="15"/>
          <w:vertAlign w:val="superscript"/>
        </w:rPr>
        <w:t>P296</w:t>
      </w:r>
      <w:r>
        <w:t>。关键绩效指标（KPI）则衡量反洗钱控制措施的有效性和效率，如报告提交的及时性和误报率</w:t>
      </w:r>
      <w:r>
        <w:rPr>
          <w:sz w:val="15"/>
          <w:vertAlign w:val="superscript"/>
        </w:rPr>
        <w:t>P296</w:t>
      </w:r>
      <w:r>
        <w:t>。题干要求监测客户群体的固有风险是否发生变化，因此需要寻找</w:t>
      </w:r>
      <w:r>
        <w:rPr>
          <w:b/>
        </w:rPr>
        <w:t>直接反映风险规模和构成的指标</w:t>
      </w:r>
      <w:r>
        <w:t>。选项B“交易监控警报数量变化”直接反映了可疑交易的趋势，属于KRI定义中列举的“可疑交易量及趋势”。选项D“新签约高级政治公众人物（PEP）的数量及占比”直接反映了客户群体中高风险客户构成的变化，因为PEP被视为较高风险</w:t>
      </w:r>
      <w:r>
        <w:rPr>
          <w:sz w:val="15"/>
          <w:vertAlign w:val="superscript"/>
        </w:rPr>
        <w:t>P270</w:t>
      </w:r>
      <w:r>
        <w:t>。两者都直接衡量了固有风险的变化。</w:t>
      </w:r>
    </w:p>
    <w:p>
      <w:pPr>
        <w:spacing w:before="120" w:after="40"/>
      </w:pPr>
      <w:r>
        <w:rPr>
          <w:b/>
          <w:sz w:val="21"/>
          <w:shd w:fill="D6E4F0" w:val="clear"/>
        </w:rPr>
        <w:t>教材原句：</w:t>
      </w:r>
    </w:p>
    <w:p>
      <w:pPr>
        <w:spacing w:line="360" w:lineRule="auto" w:after="40"/>
        <w:ind w:firstLine="420"/>
      </w:pPr>
      <w:r>
        <w:t>"Key risk indicators (KRI) are quantitative and qualitative metrics assessing AFC risks, including suspicious transaction volumes and trends, due diligence review backlog, and monitoring system deficiencies."</w:t>
      </w:r>
      <w:r>
        <w:rPr>
          <w:sz w:val="15"/>
          <w:vertAlign w:val="superscript"/>
        </w:rPr>
        <w:t>P296</w:t>
      </w:r>
    </w:p>
    <w:p>
      <w:pPr>
        <w:spacing w:before="120" w:after="40"/>
      </w:pPr>
      <w:r>
        <w:rPr>
          <w:b/>
          <w:sz w:val="21"/>
          <w:shd w:fill="D6E4F0" w:val="clear"/>
        </w:rPr>
        <w:t>A项错误：</w:t>
      </w:r>
    </w:p>
    <w:p>
      <w:pPr>
        <w:spacing w:line="360" w:lineRule="auto" w:after="40"/>
        <w:ind w:firstLine="420"/>
      </w:pPr>
      <w:r>
        <w:t>此选项衡量的是“监管报告”在规定期限内完成的合规情况，关注点在于流程的时效性。这更符合关键绩效指标（KPI）的定义，即衡量反洗钱控制有效性和效率</w:t>
      </w:r>
      <w:r>
        <w:rPr>
          <w:sz w:val="15"/>
          <w:vertAlign w:val="superscript"/>
        </w:rPr>
        <w:t>P296</w:t>
      </w:r>
      <w:r>
        <w:t>，而非直接衡量客户群体的固有风险水平。</w:t>
      </w:r>
    </w:p>
    <w:p>
      <w:pPr>
        <w:spacing w:before="120" w:after="40"/>
      </w:pPr>
      <w:r>
        <w:rPr>
          <w:b/>
          <w:sz w:val="21"/>
          <w:shd w:fill="D6E4F0" w:val="clear"/>
        </w:rPr>
        <w:t>C项错误：</w:t>
      </w:r>
    </w:p>
    <w:p>
      <w:pPr>
        <w:spacing w:line="360" w:lineRule="auto" w:after="40"/>
        <w:ind w:firstLine="420"/>
      </w:pPr>
      <w:r>
        <w:t>此选项衡量的是“开户验证”在服务级别协议（SLA）规定时间内完成的效率。开户验证是风险控制措施的一部分，其完成时效属于衡量控制流程有效性的KPI</w:t>
      </w:r>
      <w:r>
        <w:rPr>
          <w:sz w:val="15"/>
          <w:vertAlign w:val="superscript"/>
        </w:rPr>
        <w:t>P296</w:t>
      </w:r>
      <w:r>
        <w:t>，不如直接反映客户群体风险构成变化的PEP数量（选项D）那样直接匹配题干对“固有风险”的监测需求。</w:t>
      </w:r>
    </w:p>
    <w:p>
      <w:pPr>
        <w:spacing w:before="120" w:after="40"/>
      </w:pPr>
      <w:r>
        <w:rPr>
          <w:b/>
          <w:sz w:val="21"/>
          <w:shd w:fill="D6E4F0" w:val="clear"/>
        </w:rPr>
        <w:t>易错提醒：</w:t>
      </w:r>
    </w:p>
    <w:p>
      <w:pPr>
        <w:spacing w:line="360" w:lineRule="auto" w:after="40"/>
        <w:ind w:firstLine="420"/>
      </w:pPr>
      <w:r>
        <w:t>关键风险指标（KRI）评估的是风险本身，包括可疑交易趋势和高风险客户构成变化</w:t>
      </w:r>
      <w:r>
        <w:rPr>
          <w:sz w:val="15"/>
          <w:vertAlign w:val="superscript"/>
        </w:rPr>
        <w:t>P296</w:t>
      </w:r>
      <w:r>
        <w:t>。关键绩效指标（KPI）评估的是反洗钱控制的效率和效果，包括报告和审查完成的时间性、误报率等</w:t>
      </w:r>
      <w:r>
        <w:rPr>
          <w:sz w:val="15"/>
          <w:vertAlign w:val="superscript"/>
        </w:rPr>
        <w:t>P296</w:t>
      </w:r>
      <w:r>
        <w:t>。题目要求监测固有风险变化，应选择KRI而非KPI。</w:t>
      </w:r>
    </w:p>
    <w:p>
      <w:pPr>
        <w:spacing w:line="360" w:lineRule="auto" w:after="120"/>
      </w:pPr>
      <w:r/>
    </w:p>
    <w:p>
      <w:pPr>
        <w:spacing w:line="360" w:lineRule="auto" w:after="40"/>
      </w:pPr>
      <w:r>
        <w:t>9. A committee's ToR should directly define its powers, composition, and delegation chain. Which three items are core contents? (Select Three.)</w:t>
      </w:r>
    </w:p>
    <w:p>
      <w:pPr>
        <w:spacing w:line="360" w:lineRule="auto" w:after="20"/>
        <w:ind w:firstLine="283"/>
      </w:pPr>
      <w:r>
        <w:t>A. Organization chart of the attendees</w:t>
      </w:r>
    </w:p>
    <w:p>
      <w:pPr>
        <w:spacing w:line="360" w:lineRule="auto" w:after="20"/>
        <w:ind w:firstLine="283"/>
      </w:pPr>
      <w:r>
        <w:t>B. Extent of power and decision-making abilities</w:t>
      </w:r>
    </w:p>
    <w:p>
      <w:pPr>
        <w:spacing w:line="360" w:lineRule="auto" w:after="20"/>
        <w:ind w:firstLine="283"/>
      </w:pPr>
      <w:r>
        <w:t>C. Company culture and values</w:t>
      </w:r>
    </w:p>
    <w:p>
      <w:pPr>
        <w:spacing w:line="360" w:lineRule="auto" w:after="20"/>
        <w:ind w:firstLine="283"/>
      </w:pPr>
      <w:r>
        <w:t>D. Composition and structure</w:t>
      </w:r>
    </w:p>
    <w:p>
      <w:pPr>
        <w:spacing w:line="360" w:lineRule="auto" w:after="20"/>
        <w:ind w:firstLine="283"/>
      </w:pPr>
      <w:r>
        <w:t>E. Delegation of authority</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理解委员会职权范围文件的规范性内容构成</w:t>
      </w:r>
    </w:p>
    <w:p>
      <w:pPr>
        <w:spacing w:before="120" w:after="40"/>
      </w:pPr>
      <w:r>
        <w:rPr>
          <w:b/>
          <w:sz w:val="21"/>
          <w:shd w:fill="D6E4F0" w:val="clear"/>
        </w:rPr>
        <w:t>核心解析：</w:t>
      </w:r>
    </w:p>
    <w:p>
      <w:pPr>
        <w:spacing w:line="360" w:lineRule="auto" w:after="40"/>
        <w:ind w:firstLine="420"/>
      </w:pPr>
      <w:r>
        <w:t>委员会必须依据职权范围文件（ToR）运作，该文件用于明确委员会的</w:t>
      </w:r>
      <w:r>
        <w:rPr>
          <w:b/>
        </w:rPr>
        <w:t>任务、职责和权力</w:t>
      </w:r>
      <w:r>
        <w:rPr>
          <w:sz w:val="15"/>
          <w:vertAlign w:val="superscript"/>
        </w:rPr>
        <w:t>P294</w:t>
      </w:r>
      <w:r>
        <w:t>。因此，ToR需要说明委员会由谁组成、能够作出哪些决定，以及</w:t>
      </w:r>
      <w:r>
        <w:rPr>
          <w:b/>
        </w:rPr>
        <w:t>权力如何授予和行使</w:t>
      </w:r>
      <w:r>
        <w:t>。B项对应权力范围和决策能力，D项对应成员组成与结构，E项对应授权安排，三项共同界定委员会的治理边界。</w:t>
      </w:r>
    </w:p>
    <w:p>
      <w:pPr>
        <w:spacing w:before="120" w:after="40"/>
      </w:pPr>
      <w:r>
        <w:rPr>
          <w:b/>
          <w:sz w:val="21"/>
          <w:shd w:fill="D6E4F0" w:val="clear"/>
        </w:rPr>
        <w:t>教材原句：</w:t>
      </w:r>
    </w:p>
    <w:p>
      <w:pPr>
        <w:spacing w:line="360" w:lineRule="auto" w:after="40"/>
        <w:ind w:firstLine="420"/>
      </w:pPr>
      <w:r>
        <w:t>"Each committee must operate under a terms-of-reference document, which outlines its mandate, responsibilities, and authority."</w:t>
      </w:r>
      <w:r>
        <w:rPr>
          <w:sz w:val="15"/>
          <w:vertAlign w:val="superscript"/>
        </w:rPr>
        <w:t>P294</w:t>
      </w:r>
    </w:p>
    <w:p>
      <w:pPr>
        <w:spacing w:before="120" w:after="40"/>
      </w:pPr>
      <w:r>
        <w:rPr>
          <w:b/>
          <w:sz w:val="21"/>
          <w:shd w:fill="D6E4F0" w:val="clear"/>
        </w:rPr>
        <w:t>A项错误：</w:t>
      </w:r>
    </w:p>
    <w:p>
      <w:pPr>
        <w:spacing w:line="360" w:lineRule="auto" w:after="40"/>
        <w:ind w:firstLine="420"/>
      </w:pPr>
      <w:r>
        <w:t>组织结构图主要展示人员汇报关系或参会人员的行政信息，不能替代对委员会权力、正式组成和授权链条的界定。</w:t>
      </w:r>
    </w:p>
    <w:p>
      <w:pPr>
        <w:spacing w:before="120" w:after="40"/>
      </w:pPr>
      <w:r>
        <w:rPr>
          <w:b/>
          <w:sz w:val="21"/>
          <w:shd w:fill="D6E4F0" w:val="clear"/>
        </w:rPr>
        <w:t>C项错误：</w:t>
      </w:r>
    </w:p>
    <w:p>
      <w:pPr>
        <w:spacing w:line="360" w:lineRule="auto" w:after="40"/>
        <w:ind w:firstLine="420"/>
      </w:pPr>
      <w:r>
        <w:t>合规文化和高层基调属于组织整体的治理环境，而ToR关注委员会自身的职责、权力和运作边界。</w:t>
      </w:r>
    </w:p>
    <w:p>
      <w:pPr>
        <w:spacing w:before="120" w:after="40"/>
      </w:pPr>
      <w:r>
        <w:rPr>
          <w:b/>
          <w:sz w:val="21"/>
          <w:shd w:fill="D6E4F0" w:val="clear"/>
        </w:rPr>
        <w:t>易错提醒：</w:t>
      </w:r>
    </w:p>
    <w:p>
      <w:pPr>
        <w:spacing w:line="360" w:lineRule="auto" w:after="40"/>
        <w:ind w:firstLine="420"/>
      </w:pPr>
      <w:r>
        <w:t>判断 ToR 选项时，优先寻找直接界定委员会</w:t>
      </w:r>
      <w:r>
        <w:rPr>
          <w:b/>
        </w:rPr>
        <w:t>权限、成员构成和授权链条</w:t>
      </w:r>
      <w:r>
        <w:t>的内容</w:t>
      </w:r>
      <w:r>
        <w:rPr>
          <w:sz w:val="15"/>
          <w:vertAlign w:val="superscript"/>
        </w:rPr>
        <w:t>P294</w:t>
      </w:r>
      <w:r>
        <w:t>；组织文化属于更上位的治理环境，参会人员组织图则不等于委员会的正式组成。</w:t>
      </w:r>
    </w:p>
    <w:p>
      <w:pPr>
        <w:spacing w:line="360" w:lineRule="auto" w:after="120"/>
      </w:pPr>
      <w:r/>
    </w:p>
    <w:p>
      <w:pPr>
        <w:spacing w:line="360" w:lineRule="auto" w:after="40"/>
      </w:pPr>
      <w:r>
        <w:t>10. An adequate organizational policy is: (Choose Two.)</w:t>
      </w:r>
    </w:p>
    <w:p>
      <w:pPr>
        <w:spacing w:line="360" w:lineRule="auto" w:after="20"/>
        <w:ind w:firstLine="283"/>
      </w:pPr>
      <w:r>
        <w:t>A. Up to date and reflective of all relevant regulatory developments.</w:t>
      </w:r>
    </w:p>
    <w:p>
      <w:pPr>
        <w:spacing w:line="360" w:lineRule="auto" w:after="20"/>
        <w:ind w:firstLine="283"/>
      </w:pPr>
      <w:r>
        <w:t>B. Signed off by the board of directors and regulators.</w:t>
      </w:r>
    </w:p>
    <w:p>
      <w:pPr>
        <w:spacing w:line="360" w:lineRule="auto" w:after="20"/>
        <w:ind w:firstLine="283"/>
      </w:pPr>
      <w:r>
        <w:t>C. Approved by the clients and third parties.</w:t>
      </w:r>
    </w:p>
    <w:p>
      <w:pPr>
        <w:spacing w:line="360" w:lineRule="auto" w:after="20"/>
        <w:ind w:firstLine="283"/>
      </w:pPr>
      <w:r>
        <w:t>D. Clearly communicated to and understood by staff.</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识别恰当政策在</w:t>
      </w:r>
      <w:r>
        <w:rPr>
          <w:b/>
        </w:rPr>
        <w:t>更新审批与传达机制</w:t>
      </w:r>
      <w:r>
        <w:t>上的核心特征</w:t>
      </w:r>
    </w:p>
    <w:p>
      <w:pPr>
        <w:spacing w:before="120" w:after="40"/>
      </w:pPr>
      <w:r>
        <w:rPr>
          <w:b/>
          <w:sz w:val="21"/>
          <w:shd w:fill="D6E4F0" w:val="clear"/>
        </w:rPr>
        <w:t>核心解析：</w:t>
      </w:r>
    </w:p>
    <w:p>
      <w:pPr>
        <w:spacing w:line="360" w:lineRule="auto" w:after="40"/>
        <w:ind w:firstLine="420"/>
      </w:pPr>
      <w:r>
        <w:t>良好政策应</w:t>
      </w:r>
      <w:r>
        <w:rPr>
          <w:b/>
        </w:rPr>
        <w:t>定期审查与更新</w:t>
      </w:r>
      <w:r>
        <w:t>，触发事件（如新法规出台）需启动临时审查（P292-P293）。题干问恰当的组织政策，选项A“最新且反映所有相关监管动态”直接对应“监督审查与更新”这一核心要求——政策必须随监管环境变化而调整，确保实时覆盖。同理，组织应批准、记录并及时向员工传达政策变更</w:t>
      </w:r>
      <w:r>
        <w:rPr>
          <w:sz w:val="15"/>
          <w:vertAlign w:val="superscript"/>
        </w:rPr>
        <w:t>P293</w:t>
      </w:r>
      <w:r>
        <w:t>。选项D“向员工清晰传达并被理解”正体现这一落地要求——政策再完善，员工不理解就形同虚设。两项均为教材对恰当组织政策的结构性要求。</w:t>
      </w:r>
    </w:p>
    <w:p>
      <w:pPr>
        <w:spacing w:before="120" w:after="40"/>
      </w:pPr>
      <w:r>
        <w:rPr>
          <w:b/>
          <w:sz w:val="21"/>
          <w:shd w:fill="D6E4F0" w:val="clear"/>
        </w:rPr>
        <w:t>B项错误：</w:t>
      </w:r>
    </w:p>
    <w:p>
      <w:pPr>
        <w:spacing w:line="360" w:lineRule="auto" w:after="40"/>
        <w:ind w:firstLine="420"/>
      </w:pPr>
      <w:r>
        <w:t>董事会应监督并批准整体金融犯罪防控计划</w:t>
      </w:r>
      <w:r>
        <w:rPr>
          <w:sz w:val="15"/>
          <w:vertAlign w:val="superscript"/>
        </w:rPr>
        <w:t>P259</w:t>
      </w:r>
      <w:r>
        <w:t>，但这不等于每一项组织政策都须由董事会和监管机构共同批准。监管机构发布要求并开展监督，通常不逐项审批机构内部政策。</w:t>
      </w:r>
    </w:p>
    <w:p>
      <w:pPr>
        <w:spacing w:before="120" w:after="40"/>
      </w:pPr>
      <w:r>
        <w:rPr>
          <w:b/>
          <w:sz w:val="21"/>
          <w:shd w:fill="D6E4F0" w:val="clear"/>
        </w:rPr>
        <w:t>C项错误：</w:t>
      </w:r>
    </w:p>
    <w:p>
      <w:pPr>
        <w:spacing w:line="360" w:lineRule="auto" w:after="40"/>
        <w:ind w:firstLine="420"/>
      </w:pPr>
      <w:r>
        <w:t>客户和第三方是政策所规范或影响的对象，而不是组织内部政策的当然审批者。政策制定与审批应由适当的内部治理主体及必要的专业人员负责。</w:t>
      </w:r>
    </w:p>
    <w:p>
      <w:pPr>
        <w:spacing w:before="120" w:after="40"/>
      </w:pPr>
      <w:r>
        <w:rPr>
          <w:b/>
          <w:sz w:val="21"/>
          <w:shd w:fill="D6E4F0" w:val="clear"/>
        </w:rPr>
        <w:t>易错提醒：</w:t>
      </w:r>
    </w:p>
    <w:p>
      <w:pPr>
        <w:spacing w:line="360" w:lineRule="auto" w:after="40"/>
        <w:ind w:firstLine="420"/>
      </w:pPr>
      <w:r>
        <w:t>董事会对整体AFC计划的监督批准</w:t>
      </w:r>
      <w:r>
        <w:rPr>
          <w:sz w:val="15"/>
          <w:vertAlign w:val="superscript"/>
        </w:rPr>
        <w:t>P259</w:t>
      </w:r>
      <w:r>
        <w:t>，不等于监管机构需要逐项批准组织内部政策。具体政策应由适当的治理主体</w:t>
      </w:r>
      <w:r>
        <w:rPr>
          <w:b/>
        </w:rPr>
        <w:t>制定、批准、更新并向员工清晰传达</w:t>
      </w:r>
      <w:r>
        <w:t>（P292-P293）。</w:t>
      </w:r>
    </w:p>
    <w:p>
      <w:pPr>
        <w:spacing w:line="360" w:lineRule="auto" w:after="120"/>
      </w:pPr>
      <w:r/>
    </w:p>
    <w:p>
      <w:pPr>
        <w:spacing w:line="360" w:lineRule="auto" w:after="40"/>
      </w:pPr>
      <w:r>
        <w:t>11. What are the primary sources of reference besides AML laws and regulations when developing and maintaining the AML policies, standards, and procedures of a bank? (Choose Three.)</w:t>
      </w:r>
    </w:p>
    <w:p>
      <w:pPr>
        <w:spacing w:line="360" w:lineRule="auto" w:after="20"/>
        <w:ind w:firstLine="283"/>
      </w:pPr>
      <w:r>
        <w:t>A. National risk assessment.</w:t>
      </w:r>
    </w:p>
    <w:p>
      <w:pPr>
        <w:spacing w:line="360" w:lineRule="auto" w:after="20"/>
        <w:ind w:firstLine="283"/>
      </w:pPr>
      <w:r>
        <w:t>B. Regulatory guidance or publications.</w:t>
      </w:r>
    </w:p>
    <w:p>
      <w:pPr>
        <w:spacing w:line="360" w:lineRule="auto" w:after="20"/>
        <w:ind w:firstLine="283"/>
      </w:pPr>
      <w:r>
        <w:t>C. Government or state-run newspapers.</w:t>
      </w:r>
    </w:p>
    <w:p>
      <w:pPr>
        <w:spacing w:line="360" w:lineRule="auto" w:after="20"/>
        <w:ind w:firstLine="283"/>
      </w:pPr>
      <w:r>
        <w:t>D. Guidance issued by international bodies.</w:t>
      </w:r>
    </w:p>
    <w:p>
      <w:pPr>
        <w:spacing w:line="360" w:lineRule="auto" w:after="20"/>
        <w:ind w:firstLine="283"/>
      </w:pPr>
      <w:r>
        <w:t>E. Policies and procedures developed by other banks.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识别银行制定反洗钱政策时应参考的</w:t>
      </w:r>
      <w:r>
        <w:rPr>
          <w:b/>
        </w:rPr>
        <w:t>外部信息来源类型</w:t>
      </w:r>
    </w:p>
    <w:p>
      <w:pPr>
        <w:spacing w:before="120" w:after="40"/>
      </w:pPr>
      <w:r>
        <w:rPr>
          <w:b/>
          <w:sz w:val="21"/>
          <w:shd w:fill="D6E4F0" w:val="clear"/>
        </w:rPr>
        <w:t>核心解析：</w:t>
      </w:r>
    </w:p>
    <w:p>
      <w:pPr>
        <w:spacing w:line="360" w:lineRule="auto" w:after="40"/>
        <w:ind w:firstLine="420"/>
      </w:pPr>
      <w:r>
        <w:t>银行在制定和维护</w:t>
      </w:r>
      <w:r>
        <w:rPr>
          <w:b/>
        </w:rPr>
        <w:t>反洗钱政策、标准和程序</w:t>
      </w:r>
      <w:r>
        <w:t>时，除法律法规外，需参考多层次的外部信息。教材指出，机构通常主动将其政策与</w:t>
      </w:r>
      <w:r>
        <w:rPr>
          <w:b/>
        </w:rPr>
        <w:t>FATF建议、BCBS指南、国家反洗钱法律及监管期望</w:t>
      </w:r>
      <w:r>
        <w:t>保持一致</w:t>
      </w:r>
      <w:r>
        <w:rPr>
          <w:sz w:val="15"/>
          <w:vertAlign w:val="superscript"/>
        </w:rPr>
        <w:t>P291</w:t>
      </w:r>
      <w:r>
        <w:t>。这一陈述涵盖了三个清晰的信息来源方向：一是国家层面的风险评估（A. 国家风险评估），即司法管辖区识别洗钱威胁与脆弱性的正式文件，为机构提供关键风险视野</w:t>
      </w:r>
      <w:r>
        <w:rPr>
          <w:sz w:val="15"/>
          <w:vertAlign w:val="superscript"/>
        </w:rPr>
        <w:t>P225</w:t>
      </w:r>
      <w:r>
        <w:t>；二是本国监管机构发布的指导或出版物（B. 监管指导或出版物），即使无法定强制力，监管机构也期望银行予以考虑；三是FATF等国际组织提供的指导与最佳实践（D. 国际组织发布的指导文件），旨在建议各司法管辖区如何实施其建议</w:t>
      </w:r>
      <w:r>
        <w:rPr>
          <w:sz w:val="15"/>
          <w:vertAlign w:val="superscript"/>
        </w:rPr>
        <w:t>P146</w:t>
      </w:r>
      <w:r>
        <w:t>。这三者分别从国家风险图景、本土监管期望和国际标准三个维度构成银行制定政策的架构性参考。</w:t>
      </w:r>
    </w:p>
    <w:p>
      <w:pPr>
        <w:spacing w:before="120" w:after="40"/>
      </w:pPr>
      <w:r>
        <w:rPr>
          <w:b/>
          <w:sz w:val="21"/>
          <w:shd w:fill="D6E4F0" w:val="clear"/>
        </w:rPr>
        <w:t>教材原句：</w:t>
      </w:r>
    </w:p>
    <w:p>
      <w:pPr>
        <w:spacing w:line="360" w:lineRule="auto" w:after="40"/>
        <w:ind w:firstLine="420"/>
      </w:pPr>
      <w:r>
        <w:t>"Institutions typically choose to align their policies with FATF Recommendations, Basel Committee on Banking Supervision (BCBS) guidelines, national AML laws, and regulatory expectations."</w:t>
      </w:r>
    </w:p>
    <w:p>
      <w:pPr>
        <w:spacing w:before="120" w:after="40"/>
      </w:pPr>
      <w:r>
        <w:rPr>
          <w:b/>
          <w:sz w:val="21"/>
          <w:shd w:fill="D6E4F0" w:val="clear"/>
        </w:rPr>
        <w:t>C项错误：</w:t>
      </w:r>
    </w:p>
    <w:p>
      <w:pPr>
        <w:spacing w:line="360" w:lineRule="auto" w:after="40"/>
        <w:ind w:firstLine="420"/>
      </w:pPr>
      <w:r>
        <w:t>政府或国有报纸可能报道相关案件，但不属于制定反洗钱政策时主要依赖的系统性风险评估、监管指引或国际标准文件。</w:t>
      </w:r>
    </w:p>
    <w:p>
      <w:pPr>
        <w:spacing w:before="120" w:after="40"/>
      </w:pPr>
      <w:r>
        <w:rPr>
          <w:b/>
          <w:sz w:val="21"/>
          <w:shd w:fill="D6E4F0" w:val="clear"/>
        </w:rPr>
        <w:t>E项错误：</w:t>
      </w:r>
    </w:p>
    <w:p>
      <w:pPr>
        <w:spacing w:line="360" w:lineRule="auto" w:after="40"/>
        <w:ind w:firstLine="420"/>
      </w:pPr>
      <w:r>
        <w:t>其他银行的政策可能提供一般参考，但不能替代本机构根据自身风险、监管期望和适用标准制定政策。A、B、D的权威性和适用性更直接。</w:t>
      </w:r>
    </w:p>
    <w:p>
      <w:pPr>
        <w:spacing w:before="120" w:after="40"/>
      </w:pPr>
      <w:r>
        <w:rPr>
          <w:b/>
          <w:sz w:val="21"/>
          <w:shd w:fill="D6E4F0" w:val="clear"/>
        </w:rPr>
        <w:t>易错提醒：</w:t>
      </w:r>
    </w:p>
    <w:p>
      <w:pPr>
        <w:spacing w:line="360" w:lineRule="auto" w:after="40"/>
        <w:ind w:firstLine="420"/>
      </w:pPr>
      <w:r>
        <w:t>记住三类优先来源：</w:t>
      </w:r>
      <w:r>
        <w:rPr>
          <w:b/>
        </w:rPr>
        <w:t>国家风险评估、监管指导、国际组织指引</w:t>
      </w:r>
      <w:r>
        <w:t>。报纸报道或同业政策只能作为背景参考，不能替代正式风险和监管来源。</w:t>
      </w:r>
    </w:p>
    <w:p>
      <w:pPr>
        <w:spacing w:line="360" w:lineRule="auto" w:after="120"/>
      </w:pPr>
      <w:r/>
    </w:p>
    <w:p>
      <w:pPr>
        <w:spacing w:line="360" w:lineRule="auto" w:after="40"/>
      </w:pPr>
      <w:r>
        <w:t>12. Which key performance indicators (KPIs) should be considered in the context of ML/TF transaction monitoring? (Select Three.)</w:t>
      </w:r>
    </w:p>
    <w:p>
      <w:pPr>
        <w:spacing w:line="360" w:lineRule="auto" w:after="20"/>
        <w:ind w:firstLine="283"/>
      </w:pPr>
      <w:r>
        <w:t>A. Number of days required to hire new staff</w:t>
      </w:r>
    </w:p>
    <w:p>
      <w:pPr>
        <w:spacing w:line="360" w:lineRule="auto" w:after="20"/>
        <w:ind w:firstLine="283"/>
      </w:pPr>
      <w:r>
        <w:t>B. Number of alerts raised for review or reporting</w:t>
      </w:r>
    </w:p>
    <w:p>
      <w:pPr>
        <w:spacing w:line="360" w:lineRule="auto" w:after="20"/>
        <w:ind w:firstLine="283"/>
      </w:pPr>
      <w:r>
        <w:t>C. Number of alerts by region</w:t>
      </w:r>
    </w:p>
    <w:p>
      <w:pPr>
        <w:spacing w:line="360" w:lineRule="auto" w:after="20"/>
        <w:ind w:firstLine="283"/>
      </w:pPr>
      <w:r>
        <w:t>D. Number of transactions by top customers</w:t>
      </w:r>
    </w:p>
    <w:p>
      <w:pPr>
        <w:spacing w:line="360" w:lineRule="auto" w:after="20"/>
        <w:ind w:firstLine="283"/>
      </w:pPr>
      <w:r>
        <w:t>E. Average time to review an alert</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ML/TF交易监控中</w:t>
      </w:r>
      <w:r>
        <w:rPr>
          <w:b/>
        </w:rPr>
        <w:t>关键绩效指标（KPI）</w:t>
      </w:r>
      <w:r>
        <w:t>的</w:t>
      </w:r>
      <w:r>
        <w:rPr>
          <w:b/>
        </w:rPr>
        <w:t>典型类别</w:t>
      </w:r>
    </w:p>
    <w:p>
      <w:pPr>
        <w:spacing w:before="120" w:after="40"/>
      </w:pPr>
      <w:r>
        <w:rPr>
          <w:b/>
          <w:sz w:val="21"/>
          <w:shd w:fill="D6E4F0" w:val="clear"/>
        </w:rPr>
        <w:t>核心解析：</w:t>
      </w:r>
    </w:p>
    <w:p>
      <w:pPr>
        <w:spacing w:line="360" w:lineRule="auto" w:after="40"/>
        <w:ind w:firstLine="420"/>
      </w:pPr>
      <w:r>
        <w:t>关键绩效指标（KPI）用于衡量金融犯罪防控（AFC）</w:t>
      </w:r>
      <w:r>
        <w:rPr>
          <w:b/>
        </w:rPr>
        <w:t>控制的有效性</w:t>
      </w:r>
      <w:r>
        <w:t>，典型例子包括可疑活动报告（SAR）提交时限、筛查误报减少率以及</w:t>
      </w:r>
      <w:r>
        <w:rPr>
          <w:b/>
        </w:rPr>
        <w:t>警报解决时间</w:t>
      </w:r>
      <w:r>
        <w:rPr>
          <w:sz w:val="15"/>
          <w:vertAlign w:val="superscript"/>
        </w:rPr>
        <w:t>P296</w:t>
      </w:r>
      <w:r>
        <w:t>。在交易监控背景下，</w:t>
      </w:r>
      <w:r>
        <w:rPr>
          <w:b/>
        </w:rPr>
        <w:t>警报总量</w:t>
      </w:r>
      <w:r>
        <w:t>也是衡量监控校准的关键指标</w:t>
      </w:r>
      <w:r>
        <w:rPr>
          <w:sz w:val="15"/>
          <w:vertAlign w:val="superscript"/>
        </w:rPr>
        <w:t>P446</w:t>
      </w:r>
      <w:r>
        <w:t>。选项B“提出审查或报告的警报数量”直接对应警报总量，选项E“平均警报审查时间”直接对应警报解决时间。选项C“各地区警报数量”则为警报总量的地理维度拆解，可用于评估不同辖区的风险暴露与监控控制一致性的效果，由此可推断其同样属于衡量监控有效性的KPI。因此B、C、E三项均符合教材对交易监控关键绩效指标的界定。</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A项错误：</w:t>
      </w:r>
    </w:p>
    <w:p>
      <w:pPr>
        <w:spacing w:line="360" w:lineRule="auto" w:after="40"/>
        <w:ind w:firstLine="420"/>
      </w:pPr>
      <w:r>
        <w:t>“招聘新员工所需天数”属于人力资源效率指标，而非衡量AFC控制有效性的指标，题干要求的是ML/TF交易监控背景下的KPI，人力资源指标与此语境不匹配。</w:t>
      </w:r>
    </w:p>
    <w:p>
      <w:pPr>
        <w:spacing w:before="120" w:after="40"/>
      </w:pPr>
      <w:r>
        <w:rPr>
          <w:b/>
          <w:sz w:val="21"/>
          <w:shd w:fill="D6E4F0" w:val="clear"/>
        </w:rPr>
        <w:t>D项错误：</w:t>
      </w:r>
    </w:p>
    <w:p>
      <w:pPr>
        <w:spacing w:line="360" w:lineRule="auto" w:after="40"/>
        <w:ind w:firstLine="420"/>
      </w:pPr>
      <w:r>
        <w:t>“顶级客户的交易数量”更接近业务活动量指标或客户价值指标，它不直接反映监控体系在识别可疑活动方面的控制有效性，相比警报数量和审查时间等典型KPI，其与监控有效性的关联度更弱。</w:t>
      </w:r>
    </w:p>
    <w:p>
      <w:pPr>
        <w:spacing w:before="120" w:after="40"/>
      </w:pPr>
      <w:r>
        <w:rPr>
          <w:b/>
          <w:sz w:val="21"/>
          <w:shd w:fill="D6E4F0" w:val="clear"/>
        </w:rPr>
        <w:t>易错提醒：</w:t>
      </w:r>
    </w:p>
    <w:p>
      <w:pPr>
        <w:spacing w:line="360" w:lineRule="auto" w:after="40"/>
        <w:ind w:firstLine="420"/>
      </w:pPr>
      <w:r>
        <w:t>关键绩效指标（KPI）衡量控制有效性（如警报解决时间），而关键风险指标（KRI）衡量AFC风险（如可疑交易量和趋势、尽调审查积压）。教材将两者并列区分</w:t>
      </w:r>
      <w:r>
        <w:rPr>
          <w:sz w:val="15"/>
          <w:vertAlign w:val="superscript"/>
        </w:rPr>
        <w:t>P296</w:t>
      </w:r>
      <w:r>
        <w:t>，不应混淆。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