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When deciding on the frequency of periodic customer due diligence (CDD) refresh, firms should foremost consider the:</w:t>
      </w:r>
    </w:p>
    <w:p>
      <w:pPr>
        <w:spacing w:line="360" w:lineRule="auto" w:after="20"/>
        <w:ind w:firstLine="283"/>
      </w:pPr>
      <w:r>
        <w:t>A. Risk profile of customers</w:t>
      </w:r>
    </w:p>
    <w:p>
      <w:pPr>
        <w:spacing w:line="360" w:lineRule="auto" w:after="20"/>
        <w:ind w:firstLine="283"/>
      </w:pPr>
      <w:r>
        <w:t>B. Available level of automation for the process</w:t>
      </w:r>
    </w:p>
    <w:p>
      <w:pPr>
        <w:spacing w:line="360" w:lineRule="auto" w:after="20"/>
        <w:ind w:firstLine="283"/>
      </w:pPr>
      <w:r>
        <w:t>C. Operational burden of periodic refresh implementation</w:t>
      </w:r>
    </w:p>
    <w:p>
      <w:pPr>
        <w:spacing w:line="360" w:lineRule="auto" w:after="20"/>
        <w:ind w:firstLine="283"/>
      </w:pPr>
      <w:r>
        <w:t>D. Cost of implementation</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风险为本方法决定定期CDD审查频率</w:t>
      </w:r>
    </w:p>
    <w:p>
      <w:pPr>
        <w:spacing w:before="120" w:after="40"/>
      </w:pPr>
      <w:r>
        <w:rPr>
          <w:b/>
          <w:sz w:val="21"/>
          <w:shd w:fill="D6E4F0" w:val="clear"/>
        </w:rPr>
        <w:t>核心解析：</w:t>
      </w:r>
    </w:p>
    <w:p>
      <w:pPr>
        <w:spacing w:line="360" w:lineRule="auto" w:after="40"/>
        <w:ind w:firstLine="420"/>
      </w:pPr>
      <w:r>
        <w:t>定期KYC审查指“根据客户风险等级定期更新客户信息、所有权结构、业务活动和风险分类”</w:t>
      </w:r>
      <w:r>
        <w:rPr>
          <w:sz w:val="15"/>
          <w:vertAlign w:val="superscript"/>
        </w:rPr>
        <w:t>P315</w:t>
      </w:r>
      <w:r>
        <w:t>。换言之，</w:t>
      </w:r>
      <w:r>
        <w:rPr>
          <w:b/>
        </w:rPr>
        <w:t>审查频率的差异来自客户风险等级的差异</w:t>
      </w:r>
      <w:r>
        <w:t>——高风险客户通常每年审查一次，中风险客户每两到三年审查一次</w:t>
      </w:r>
      <w:r>
        <w:rPr>
          <w:sz w:val="15"/>
          <w:vertAlign w:val="superscript"/>
        </w:rPr>
        <w:t>P315</w:t>
      </w:r>
      <w:r>
        <w:t>。教材进一步明确，“风险决策决定客户调查的级别和频率”</w:t>
      </w:r>
      <w:r>
        <w:rPr>
          <w:sz w:val="15"/>
          <w:vertAlign w:val="superscript"/>
        </w:rPr>
        <w:t>P270</w:t>
      </w:r>
      <w:r>
        <w:t>。题干问的是决定“定期CDD更新频率”的首要因素，而“客户风险概况”直接对应教材设定的频率决定因素——风险等级越高，审查越频繁。这符合风险为本方法（RBA）的核心逻辑：将资源集中于最需要和影响最大的领域</w:t>
      </w:r>
      <w:r>
        <w:rPr>
          <w:sz w:val="15"/>
          <w:vertAlign w:val="superscript"/>
        </w:rPr>
        <w:t>P271</w:t>
      </w:r>
      <w:r>
        <w:t>。</w:t>
      </w:r>
    </w:p>
    <w:p>
      <w:pPr>
        <w:spacing w:before="120" w:after="40"/>
      </w:pPr>
      <w:r>
        <w:rPr>
          <w:b/>
          <w:sz w:val="21"/>
          <w:shd w:fill="D6E4F0" w:val="clear"/>
        </w:rPr>
        <w:t>教材原句：</w:t>
      </w:r>
    </w:p>
    <w:p>
      <w:pPr>
        <w:spacing w:line="360" w:lineRule="auto" w:after="40"/>
        <w:ind w:firstLine="420"/>
      </w:pPr>
      <w:r>
        <w:t>"Periodic KYC reviews take place at regular intervals, based on the customer’s risk level. Financial institutions must review and update customer information, ownership structures, business activities, and risk classifications."</w:t>
      </w:r>
    </w:p>
    <w:p>
      <w:pPr>
        <w:spacing w:before="120" w:after="40"/>
      </w:pPr>
      <w:r>
        <w:rPr>
          <w:b/>
          <w:sz w:val="21"/>
          <w:shd w:fill="D6E4F0" w:val="clear"/>
        </w:rPr>
        <w:t>B项错误：</w:t>
      </w:r>
    </w:p>
    <w:p>
      <w:pPr>
        <w:spacing w:line="360" w:lineRule="auto" w:after="40"/>
        <w:ind w:firstLine="420"/>
      </w:pPr>
      <w:r>
        <w:t>自动化程度（P384-385, P397）主要解决执行效率问题，而教材强调自动化前必须先进行流程再造，确保流程稳健合规</w:t>
      </w:r>
      <w:r>
        <w:rPr>
          <w:sz w:val="15"/>
          <w:vertAlign w:val="superscript"/>
        </w:rPr>
        <w:t>P397</w:t>
      </w:r>
      <w:r>
        <w:t>，频率决策是风险判断在先，技术手段在后，匹配度不如风险因素直接。</w:t>
      </w:r>
    </w:p>
    <w:p>
      <w:pPr>
        <w:spacing w:before="120" w:after="40"/>
      </w:pPr>
      <w:r>
        <w:rPr>
          <w:b/>
          <w:sz w:val="21"/>
          <w:shd w:fill="D6E4F0" w:val="clear"/>
        </w:rPr>
        <w:t>C项错误：</w:t>
      </w:r>
    </w:p>
    <w:p>
      <w:pPr>
        <w:spacing w:line="360" w:lineRule="auto" w:after="40"/>
        <w:ind w:firstLine="420"/>
      </w:pPr>
      <w:r>
        <w:t>操作负担</w:t>
      </w:r>
      <w:r>
        <w:rPr>
          <w:sz w:val="15"/>
          <w:vertAlign w:val="superscript"/>
        </w:rPr>
        <w:t>P382</w:t>
      </w:r>
      <w:r>
        <w:t>是执行层面的效率考量，教材明确将定期KYC审查的触发逻辑归因于“基于客户风险等级”</w:t>
      </w:r>
      <w:r>
        <w:rPr>
          <w:sz w:val="15"/>
          <w:vertAlign w:val="superscript"/>
        </w:rPr>
        <w:t>P315</w:t>
      </w:r>
      <w:r>
        <w:t>，负担本身不驱动审查频率的设定，而是频率设定后的结果。</w:t>
      </w:r>
    </w:p>
    <w:p>
      <w:pPr>
        <w:spacing w:before="120" w:after="40"/>
      </w:pPr>
      <w:r>
        <w:rPr>
          <w:b/>
          <w:sz w:val="21"/>
          <w:shd w:fill="D6E4F0" w:val="clear"/>
        </w:rPr>
        <w:t>D项错误：</w:t>
      </w:r>
    </w:p>
    <w:p>
      <w:pPr>
        <w:spacing w:line="360" w:lineRule="auto" w:after="40"/>
        <w:ind w:firstLine="420"/>
      </w:pPr>
      <w:r>
        <w:t>实施成本（P383, P378）涉及系统与技术层面，教材虽然提及总拥有成本和无效系统推高成本，但成本考量定位于技术部署而非审查频率的规范设定，风险评级才是频率的直接锚点。</w:t>
      </w:r>
    </w:p>
    <w:p>
      <w:pPr>
        <w:spacing w:before="120" w:after="40"/>
      </w:pPr>
      <w:r>
        <w:rPr>
          <w:b/>
          <w:sz w:val="21"/>
          <w:shd w:fill="D6E4F0" w:val="clear"/>
        </w:rPr>
        <w:t>易错提醒：</w:t>
      </w:r>
    </w:p>
    <w:p>
      <w:pPr>
        <w:spacing w:line="360" w:lineRule="auto" w:after="40"/>
        <w:ind w:firstLine="420"/>
      </w:pPr>
      <w:r>
        <w:t>学生可能因看到“操作负担”而误选C，认为重复性任务的频率应基于操作可行性。教材中的区分标准是：操作负担描述执行层面的资源消耗</w:t>
      </w:r>
      <w:r>
        <w:rPr>
          <w:sz w:val="15"/>
          <w:vertAlign w:val="superscript"/>
        </w:rPr>
        <w:t>P382</w:t>
      </w:r>
      <w:r>
        <w:t>，而风险概况（P270, P315）是决定“何时执行什么”的规范标准——两者处在不同层次。</w:t>
      </w:r>
    </w:p>
    <w:p>
      <w:pPr>
        <w:spacing w:line="360" w:lineRule="auto" w:after="120"/>
      </w:pPr>
      <w:r/>
    </w:p>
    <w:p>
      <w:pPr>
        <w:spacing w:line="360" w:lineRule="auto" w:after="40"/>
      </w:pPr>
      <w:r>
        <w:t>2. Which of the following controls is typically implemented at customer onboarding to mitigate the risk of onboarding high-risk customers?</w:t>
      </w:r>
    </w:p>
    <w:p>
      <w:pPr>
        <w:spacing w:line="360" w:lineRule="auto" w:after="20"/>
        <w:ind w:firstLine="283"/>
      </w:pPr>
      <w:r>
        <w:t>A. Enhanced due diligence (EDD)</w:t>
      </w:r>
    </w:p>
    <w:p>
      <w:pPr>
        <w:spacing w:line="360" w:lineRule="auto" w:after="20"/>
        <w:ind w:firstLine="283"/>
      </w:pPr>
      <w:r>
        <w:t>B. Transaction monitoring</w:t>
      </w:r>
    </w:p>
    <w:p>
      <w:pPr>
        <w:spacing w:line="360" w:lineRule="auto" w:after="20"/>
        <w:ind w:firstLine="283"/>
      </w:pPr>
      <w:r>
        <w:t>C. Customer risk assessment</w:t>
      </w:r>
    </w:p>
    <w:p>
      <w:pPr>
        <w:spacing w:line="360" w:lineRule="auto" w:after="20"/>
        <w:ind w:firstLine="283"/>
      </w:pPr>
      <w:r>
        <w:t>D. Sanctions screening</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区分开户时点适用的控制措施类型</w:t>
      </w:r>
    </w:p>
    <w:p>
      <w:pPr>
        <w:spacing w:before="120" w:after="40"/>
      </w:pPr>
      <w:r>
        <w:rPr>
          <w:b/>
          <w:sz w:val="21"/>
          <w:shd w:fill="D6E4F0" w:val="clear"/>
        </w:rPr>
        <w:t>核心解析：</w:t>
      </w:r>
    </w:p>
    <w:p>
      <w:pPr>
        <w:spacing w:line="360" w:lineRule="auto" w:after="40"/>
        <w:ind w:firstLine="420"/>
      </w:pPr>
      <w:r>
        <w:t>强化尽职调查（EDD）是针对高风险客户采取的更深层次的审查措施。教材规定，对政治敏感人物（一类典型高风险客户）须在</w:t>
      </w:r>
      <w:r>
        <w:rPr>
          <w:b/>
        </w:rPr>
        <w:t>准入及整个客户生命周期中实施强化尽职调查等控制</w:t>
      </w:r>
      <w:r>
        <w:rPr>
          <w:sz w:val="15"/>
          <w:vertAlign w:val="superscript"/>
        </w:rPr>
        <w:t>P321</w:t>
      </w:r>
      <w:r>
        <w:t>。当识别到客户存在高固有风险时（如政治敏感人物），机构应实施EDD、核实资金来源和财富</w:t>
      </w:r>
      <w:r>
        <w:rPr>
          <w:sz w:val="15"/>
          <w:vertAlign w:val="superscript"/>
        </w:rPr>
        <w:t>P278</w:t>
      </w:r>
      <w:r>
        <w:t>。题干问的是“开户时”降低“高风险客户”风险的“控制措施”，EDD的定义和适用场景直接吻合这三个条件：它在开户时启动、专门针对高风险客户、本身就是一种控制措施。</w:t>
      </w:r>
    </w:p>
    <w:p>
      <w:pPr>
        <w:spacing w:before="120" w:after="40"/>
      </w:pPr>
      <w:r>
        <w:rPr>
          <w:b/>
          <w:sz w:val="21"/>
          <w:shd w:fill="D6E4F0" w:val="clear"/>
        </w:rPr>
        <w:t>教材原句：</w:t>
      </w:r>
    </w:p>
    <w:p>
      <w:pPr>
        <w:spacing w:line="360" w:lineRule="auto" w:after="40"/>
        <w:ind w:firstLine="420"/>
      </w:pPr>
      <w:r>
        <w:t>"Other controls: Include enhanced due diligence processes on PEPs at onboarding and throughout the customer life cycle. Consider what other controls are needed for PEPs, such as specific transaction monitoring rules."</w:t>
      </w:r>
    </w:p>
    <w:p>
      <w:pPr>
        <w:spacing w:before="120" w:after="40"/>
      </w:pPr>
      <w:r>
        <w:rPr>
          <w:b/>
          <w:sz w:val="21"/>
          <w:shd w:fill="D6E4F0" w:val="clear"/>
        </w:rPr>
        <w:t>B项错误：</w:t>
      </w:r>
    </w:p>
    <w:p>
      <w:pPr>
        <w:spacing w:line="360" w:lineRule="auto" w:after="40"/>
        <w:ind w:firstLine="420"/>
      </w:pPr>
      <w:r>
        <w:t>交易监控是开户后持续观察客户交易以识别异常或非法活动，其定义明确将时间限定在“开户后”</w:t>
      </w:r>
      <w:r>
        <w:rPr>
          <w:sz w:val="15"/>
          <w:vertAlign w:val="superscript"/>
        </w:rPr>
        <w:t>P329</w:t>
      </w:r>
      <w:r>
        <w:t>。题干三个阶段为开户时，不如EDD直接匹配。</w:t>
      </w:r>
    </w:p>
    <w:p>
      <w:pPr>
        <w:spacing w:before="120" w:after="40"/>
      </w:pPr>
      <w:r>
        <w:rPr>
          <w:b/>
          <w:sz w:val="21"/>
          <w:shd w:fill="D6E4F0" w:val="clear"/>
        </w:rPr>
        <w:t>C项错误：</w:t>
      </w:r>
    </w:p>
    <w:p>
      <w:pPr>
        <w:spacing w:line="360" w:lineRule="auto" w:after="40"/>
        <w:ind w:firstLine="420"/>
      </w:pPr>
      <w:r>
        <w:t>客户风险评估（CRA）用于识别风险因素、分配风险评级并决定客户尽职调查等级</w:t>
      </w:r>
      <w:r>
        <w:rPr>
          <w:sz w:val="15"/>
          <w:vertAlign w:val="superscript"/>
        </w:rPr>
        <w:t>P285</w:t>
      </w:r>
      <w:r>
        <w:t>。虽然部分CRA流程在开户时开展，但其作用是“判断”客户风险高低，而非对已确认的高风险客户施加额外“控制”以降低风险。</w:t>
      </w:r>
    </w:p>
    <w:p>
      <w:pPr>
        <w:spacing w:before="120" w:after="40"/>
      </w:pPr>
      <w:r>
        <w:rPr>
          <w:b/>
          <w:sz w:val="21"/>
          <w:shd w:fill="D6E4F0" w:val="clear"/>
        </w:rPr>
        <w:t>D项错误：</w:t>
      </w:r>
    </w:p>
    <w:p>
      <w:pPr>
        <w:spacing w:line="360" w:lineRule="auto" w:after="40"/>
        <w:ind w:firstLine="420"/>
      </w:pPr>
      <w:r>
        <w:t>制裁筛查是将客户信息与制裁名单交叉核对，并在客户准入前开展以确定风险</w:t>
      </w:r>
      <w:r>
        <w:rPr>
          <w:sz w:val="15"/>
          <w:vertAlign w:val="superscript"/>
        </w:rPr>
        <w:t>P305</w:t>
      </w:r>
      <w:r>
        <w:t>。它适用于所有客户，并非仅在客户已被识别为高风险后才触发；相比之下，EDD是针对高风险客户追加的审查措施，与题干条件更直接匹配。</w:t>
      </w:r>
    </w:p>
    <w:p>
      <w:pPr>
        <w:spacing w:line="360" w:lineRule="auto" w:after="120"/>
      </w:pPr>
      <w:r/>
    </w:p>
    <w:p>
      <w:pPr>
        <w:spacing w:line="360" w:lineRule="auto" w:after="40"/>
      </w:pPr>
      <w:r>
        <w:t>3. Which activities are part of adverse media screening for negative news and reputational risks? (Select Three.)</w:t>
      </w:r>
    </w:p>
    <w:p>
      <w:pPr>
        <w:spacing w:line="360" w:lineRule="auto" w:after="20"/>
        <w:ind w:firstLine="283"/>
      </w:pPr>
      <w:r>
        <w:t>A. Analyzing customer sentiment through feedback and surveys.</w:t>
      </w:r>
    </w:p>
    <w:p>
      <w:pPr>
        <w:spacing w:line="360" w:lineRule="auto" w:after="20"/>
        <w:ind w:firstLine="283"/>
      </w:pPr>
      <w:r>
        <w:t>B. Identifying individuals or entities linked to criminal activities or sanctions.</w:t>
      </w:r>
    </w:p>
    <w:p>
      <w:pPr>
        <w:spacing w:line="360" w:lineRule="auto" w:after="20"/>
        <w:ind w:firstLine="283"/>
      </w:pPr>
      <w:r>
        <w:t>C. Periodically monitoring regulatory updates and enforcement actions for associated entities.</w:t>
      </w:r>
    </w:p>
    <w:p>
      <w:pPr>
        <w:spacing w:line="360" w:lineRule="auto" w:after="20"/>
        <w:ind w:firstLine="283"/>
      </w:pPr>
      <w:r>
        <w:t>D. Scanning publicly available news articles and regulatory alerts.</w:t>
      </w:r>
    </w:p>
    <w:p>
      <w:pPr>
        <w:spacing w:line="360" w:lineRule="auto" w:after="20"/>
        <w:ind w:firstLine="283"/>
      </w:pPr>
      <w:r>
        <w:t>E. Monitoring changes in credit scores of individuals or entities.</w:t>
      </w:r>
    </w:p>
    <w:p>
      <w:pPr>
        <w:spacing w:line="360" w:lineRule="auto" w:after="40"/>
      </w:pPr>
      <w:r>
        <w:t>答案：B、C、D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负面媒体筛查的定义与活动边界</w:t>
      </w:r>
    </w:p>
    <w:p>
      <w:pPr>
        <w:spacing w:before="120" w:after="40"/>
      </w:pPr>
      <w:r>
        <w:rPr>
          <w:b/>
          <w:sz w:val="21"/>
          <w:shd w:fill="D6E4F0" w:val="clear"/>
        </w:rPr>
        <w:t>核心解析：</w:t>
      </w:r>
    </w:p>
    <w:p>
      <w:pPr>
        <w:spacing w:line="360" w:lineRule="auto" w:after="40"/>
        <w:ind w:firstLine="420"/>
      </w:pPr>
      <w:r>
        <w:rPr>
          <w:b/>
        </w:rPr>
        <w:t>负面媒体筛查</w:t>
      </w:r>
      <w:r>
        <w:t>是识别把个人或实体与金融犯罪风险联系起来的公开信息</w:t>
      </w:r>
      <w:r>
        <w:rPr>
          <w:sz w:val="15"/>
          <w:vertAlign w:val="superscript"/>
        </w:rPr>
        <w:t>P322</w:t>
      </w:r>
      <w:r>
        <w:t>，并审查客户、受益所有人、股东或关联方的负面新闻，如</w:t>
      </w:r>
      <w:r>
        <w:rPr>
          <w:b/>
        </w:rPr>
        <w:t>刑事指控、监管调查、罚款或执法通知</w:t>
      </w:r>
      <w:r>
        <w:rPr>
          <w:sz w:val="15"/>
          <w:vertAlign w:val="superscript"/>
        </w:rPr>
        <w:t>P467</w:t>
      </w:r>
      <w:r>
        <w:t>。D项直接对应公开新闻、监管警报和执法通知的检索</w:t>
      </w:r>
      <w:r>
        <w:rPr>
          <w:sz w:val="15"/>
          <w:vertAlign w:val="superscript"/>
        </w:rPr>
        <w:t>P334</w:t>
      </w:r>
      <w:r>
        <w:t>；C项对应持续关注关联实体的监管更新和执法行动。B项需要作边界区分：若与犯罪或制裁有关的事件或关联由公开媒体、监管信息揭示，就属于负面媒体筛查目标；若只是命中制裁名单，则应归入制裁或名单筛查。由此，B、C、D更符合题意。</w:t>
      </w:r>
    </w:p>
    <w:p>
      <w:pPr>
        <w:spacing w:before="120" w:after="40"/>
      </w:pPr>
      <w:r>
        <w:rPr>
          <w:b/>
          <w:sz w:val="21"/>
          <w:shd w:fill="D6E4F0" w:val="clear"/>
        </w:rPr>
        <w:t>教材原句：</w:t>
      </w:r>
    </w:p>
    <w:p>
      <w:pPr>
        <w:spacing w:line="360" w:lineRule="auto" w:after="40"/>
        <w:ind w:firstLine="420"/>
      </w:pPr>
      <w:r>
        <w:t>"Adverse media checks—also known as negative news screening— identify publicly available information linking individuals or entities to financial crime risks."</w:t>
      </w:r>
      <w:r>
        <w:rPr>
          <w:sz w:val="15"/>
          <w:vertAlign w:val="superscript"/>
        </w:rPr>
        <w:t>P322</w:t>
      </w:r>
    </w:p>
    <w:p>
      <w:pPr>
        <w:spacing w:before="120" w:after="40"/>
      </w:pPr>
      <w:r>
        <w:rPr>
          <w:b/>
          <w:sz w:val="21"/>
          <w:shd w:fill="D6E4F0" w:val="clear"/>
        </w:rPr>
        <w:t>A项错误：</w:t>
      </w:r>
    </w:p>
    <w:p>
      <w:pPr>
        <w:spacing w:line="360" w:lineRule="auto" w:after="40"/>
        <w:ind w:firstLine="420"/>
      </w:pPr>
      <w:r>
        <w:t>负面媒体筛查的核心是检索公开的负面新闻和监管信息</w:t>
      </w:r>
      <w:r>
        <w:rPr>
          <w:sz w:val="15"/>
          <w:vertAlign w:val="superscript"/>
        </w:rPr>
        <w:t>P322、P334</w:t>
      </w:r>
      <w:r>
        <w:t>；分析客户反馈或调查中的情绪属于客户体验管理，不是负面媒体筛查。</w:t>
      </w:r>
    </w:p>
    <w:p>
      <w:pPr>
        <w:spacing w:before="120" w:after="40"/>
      </w:pPr>
      <w:r>
        <w:rPr>
          <w:b/>
          <w:sz w:val="21"/>
          <w:shd w:fill="D6E4F0" w:val="clear"/>
        </w:rPr>
        <w:t>E项错误：</w:t>
      </w:r>
    </w:p>
    <w:p>
      <w:pPr>
        <w:spacing w:line="360" w:lineRule="auto" w:after="40"/>
        <w:ind w:firstLine="420"/>
      </w:pPr>
      <w:r>
        <w:t>信用评分变化反映借款人违约等信用风险，而负面媒体筛查关注公开信息中的金融犯罪或声誉风险，两者的信息类型和用途不同。</w:t>
      </w:r>
    </w:p>
    <w:p>
      <w:pPr>
        <w:spacing w:before="120" w:after="40"/>
      </w:pPr>
      <w:r>
        <w:rPr>
          <w:b/>
          <w:sz w:val="21"/>
          <w:shd w:fill="D6E4F0" w:val="clear"/>
        </w:rPr>
        <w:t>易错提醒：</w:t>
      </w:r>
    </w:p>
    <w:p>
      <w:pPr>
        <w:spacing w:line="360" w:lineRule="auto" w:after="40"/>
        <w:ind w:firstLine="420"/>
      </w:pPr>
      <w:r>
        <w:t>注意区分：公开媒体/监管或执法通知属于负面媒体来源</w:t>
      </w:r>
      <w:r>
        <w:rPr>
          <w:sz w:val="15"/>
          <w:vertAlign w:val="superscript"/>
        </w:rPr>
        <w:t>P322、P334</w:t>
      </w:r>
      <w:r>
        <w:t>；制裁名单命中属于另一类名单筛查；信用评分属于信用风险信息。</w:t>
      </w:r>
    </w:p>
    <w:p>
      <w:pPr>
        <w:spacing w:line="360" w:lineRule="auto" w:after="120"/>
      </w:pPr>
      <w:r/>
    </w:p>
    <w:p>
      <w:pPr>
        <w:spacing w:line="360" w:lineRule="auto" w:after="40"/>
      </w:pPr>
      <w:r>
        <w:t>4. Which of the following are important AML controls for a compliance manager of a regulated asset management company in the European Union to implement? (Select Two.)</w:t>
      </w:r>
    </w:p>
    <w:p>
      <w:pPr>
        <w:spacing w:line="360" w:lineRule="auto" w:after="20"/>
        <w:ind w:firstLine="283"/>
      </w:pPr>
      <w:r>
        <w:t>A. Inviting prospective customers for an onboarding interview</w:t>
      </w:r>
    </w:p>
    <w:p>
      <w:pPr>
        <w:spacing w:line="360" w:lineRule="auto" w:after="20"/>
        <w:ind w:firstLine="283"/>
      </w:pPr>
      <w:r>
        <w:t>B. Rejecting any politically exposed persons (PEPs) as customers</w:t>
      </w:r>
    </w:p>
    <w:p>
      <w:pPr>
        <w:spacing w:line="360" w:lineRule="auto" w:after="20"/>
        <w:ind w:firstLine="283"/>
      </w:pPr>
      <w:r>
        <w:t>C. Understanding the source and origin of assets</w:t>
      </w:r>
    </w:p>
    <w:p>
      <w:pPr>
        <w:spacing w:line="360" w:lineRule="auto" w:after="20"/>
        <w:ind w:firstLine="283"/>
      </w:pPr>
      <w:r>
        <w:t>D. Performing negative news checks of prospective customers</w:t>
      </w:r>
    </w:p>
    <w:p>
      <w:pPr>
        <w:spacing w:line="360" w:lineRule="auto" w:after="20"/>
        <w:ind w:firstLine="283"/>
      </w:pPr>
      <w:r>
        <w:t>E. Producing financial stability reports on key customers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区分客户尽职调查中必须执行的核心反洗钱控制措施</w:t>
      </w:r>
    </w:p>
    <w:p>
      <w:pPr>
        <w:spacing w:before="120" w:after="40"/>
      </w:pPr>
      <w:r>
        <w:rPr>
          <w:b/>
          <w:sz w:val="21"/>
          <w:shd w:fill="D6E4F0" w:val="clear"/>
        </w:rPr>
        <w:t>核心解析：</w:t>
      </w:r>
    </w:p>
    <w:p>
      <w:pPr>
        <w:spacing w:line="360" w:lineRule="auto" w:after="40"/>
        <w:ind w:firstLine="420"/>
      </w:pPr>
      <w:r>
        <w:t>在客户生命周期中，金融机构必须持续进行</w:t>
      </w:r>
      <w:r>
        <w:rPr>
          <w:b/>
        </w:rPr>
        <w:t>制裁、PEP和负面新闻筛查</w:t>
      </w:r>
      <w:r>
        <w:rPr>
          <w:sz w:val="15"/>
          <w:vertAlign w:val="superscript"/>
        </w:rPr>
        <w:t>P306</w:t>
      </w:r>
      <w:r>
        <w:t>。负面新闻筛查定义为识别将个人或实体与金融犯罪风险联系起来的公开信息</w:t>
      </w:r>
      <w:r>
        <w:rPr>
          <w:sz w:val="15"/>
          <w:vertAlign w:val="superscript"/>
        </w:rPr>
        <w:t>P322</w:t>
      </w:r>
      <w:r>
        <w:t>，是客户准入和持续监控中的关键控制。同时，客户尽职调查（CDD）要求了解</w:t>
      </w:r>
      <w:r>
        <w:rPr>
          <w:b/>
        </w:rPr>
        <w:t>资金来源和交易活动</w:t>
      </w:r>
      <w:r>
        <w:rPr>
          <w:sz w:val="15"/>
          <w:vertAlign w:val="superscript"/>
        </w:rPr>
        <w:t>P309</w:t>
      </w:r>
      <w:r>
        <w:t>，对高风险客户的强化尽职调查（EDD）更明确要求验证“</w:t>
      </w:r>
      <w:r>
        <w:rPr>
          <w:b/>
        </w:rPr>
        <w:t>source of funds and source of wealth</w:t>
      </w:r>
      <w:r>
        <w:t>”（资金来源和财富来源）</w:t>
      </w:r>
      <w:r>
        <w:rPr>
          <w:sz w:val="15"/>
          <w:vertAlign w:val="superscript"/>
        </w:rPr>
        <w:t>P311</w:t>
      </w:r>
      <w:r>
        <w:t>。题干设定的场景是欧盟受监管资产管理公司的合规经理需实施的反洗钱控制措施，选项C“了解资产的来源和出处”和选项D“对潜在客户进行负面新闻核查”正好分别对应CDD中的资金来源审查和持续筛查中的负面媒体检查，这两项都是教材列明的重要控制措施。</w:t>
      </w:r>
    </w:p>
    <w:p>
      <w:pPr>
        <w:spacing w:before="120" w:after="40"/>
      </w:pPr>
      <w:r>
        <w:rPr>
          <w:b/>
          <w:sz w:val="21"/>
          <w:shd w:fill="D6E4F0" w:val="clear"/>
        </w:rPr>
        <w:t>A项错误：</w:t>
      </w:r>
    </w:p>
    <w:p>
      <w:pPr>
        <w:spacing w:line="360" w:lineRule="auto" w:after="40"/>
        <w:ind w:firstLine="420"/>
      </w:pPr>
      <w:r>
        <w:t>入职面谈作为一种程序在教材中并无直接对应，教材描述客户准入阶段收集的是KYC静态数据</w:t>
      </w:r>
      <w:r>
        <w:rPr>
          <w:sz w:val="15"/>
          <w:vertAlign w:val="superscript"/>
        </w:rPr>
        <w:t>P467</w:t>
      </w:r>
      <w:r>
        <w:t>，面谈不是被列明的必要反洗钱控制措施。</w:t>
      </w:r>
    </w:p>
    <w:p>
      <w:pPr>
        <w:spacing w:before="120" w:after="40"/>
      </w:pPr>
      <w:r>
        <w:rPr>
          <w:b/>
          <w:sz w:val="21"/>
          <w:shd w:fill="D6E4F0" w:val="clear"/>
        </w:rPr>
        <w:t>B项错误：</w:t>
      </w:r>
    </w:p>
    <w:p>
      <w:pPr>
        <w:spacing w:line="360" w:lineRule="auto" w:after="40"/>
        <w:ind w:firstLine="420"/>
      </w:pPr>
      <w:r>
        <w:t>教材要求对PEP进行“筛查”和“仔细的风险评估”</w:t>
      </w:r>
      <w:r>
        <w:rPr>
          <w:sz w:val="15"/>
          <w:vertAlign w:val="superscript"/>
        </w:rPr>
        <w:t>P104、P320</w:t>
      </w:r>
      <w:r>
        <w:t>，而非“一律拒绝”PEP成为客户。风险评估和强化尽职调查才是针对PEP的标准做法，与“拒绝任何PEP”相比，筛查和EDD更符合教材框架下的风险为本方法。</w:t>
      </w:r>
    </w:p>
    <w:p>
      <w:pPr>
        <w:spacing w:before="120" w:after="40"/>
      </w:pPr>
      <w:r>
        <w:rPr>
          <w:b/>
          <w:sz w:val="21"/>
          <w:shd w:fill="D6E4F0" w:val="clear"/>
        </w:rPr>
        <w:t>E项错误：</w:t>
      </w:r>
    </w:p>
    <w:p>
      <w:pPr>
        <w:spacing w:line="360" w:lineRule="auto" w:after="40"/>
        <w:ind w:firstLine="420"/>
      </w:pPr>
      <w:r>
        <w:t>编制金融稳定报告在教材中涉及IOSCO促进金融稳定的目标</w:t>
      </w:r>
      <w:r>
        <w:rPr>
          <w:sz w:val="15"/>
          <w:vertAlign w:val="superscript"/>
        </w:rPr>
        <w:t>P170</w:t>
      </w:r>
      <w:r>
        <w:t>和信贷产品对经济增长的作用</w:t>
      </w:r>
      <w:r>
        <w:rPr>
          <w:sz w:val="15"/>
          <w:vertAlign w:val="superscript"/>
        </w:rPr>
        <w:t>P67</w:t>
      </w:r>
      <w:r>
        <w:t>，但这属于监管目标和宏观经济功能范畴，并非合规经理需要实施的反洗钱控制措施。</w:t>
      </w:r>
    </w:p>
    <w:p>
      <w:pPr>
        <w:spacing w:before="120" w:after="40"/>
      </w:pPr>
      <w:r>
        <w:rPr>
          <w:b/>
          <w:sz w:val="21"/>
          <w:shd w:fill="D6E4F0" w:val="clear"/>
        </w:rPr>
        <w:t>易错提醒：</w:t>
      </w:r>
    </w:p>
    <w:p>
      <w:pPr>
        <w:spacing w:line="360" w:lineRule="auto" w:after="40"/>
        <w:ind w:firstLine="420"/>
      </w:pPr>
      <w:r>
        <w:t>PEP不是拒绝对象而是需强化审查的对象：教材要求“筛查客户以识别PEP及其亲属和密切关联人”</w:t>
      </w:r>
      <w:r>
        <w:rPr>
          <w:sz w:val="15"/>
          <w:vertAlign w:val="superscript"/>
        </w:rPr>
        <w:t>P320</w:t>
      </w:r>
      <w:r>
        <w:t>，并对PEP实施EDD</w:t>
      </w:r>
      <w:r>
        <w:rPr>
          <w:sz w:val="15"/>
          <w:vertAlign w:val="superscript"/>
        </w:rPr>
        <w:t>P310</w:t>
      </w:r>
      <w:r>
        <w:t>，核心是风险评估而非一刀切拒绝。</w:t>
      </w:r>
    </w:p>
    <w:p>
      <w:pPr>
        <w:spacing w:line="360" w:lineRule="auto" w:after="120"/>
      </w:pPr>
      <w:r/>
    </w:p>
    <w:p>
      <w:pPr>
        <w:spacing w:line="360" w:lineRule="auto" w:after="40"/>
      </w:pPr>
      <w:r>
        <w:t>5. A compliance officer is reviewing an institutional banking prospect proposal for a new foreign entity that is a multinational business but headquartered in a country where most businesses are state-owned. Which risks should be prioritized in the review? (Choose Two.)</w:t>
      </w:r>
    </w:p>
    <w:p>
      <w:pPr>
        <w:spacing w:line="360" w:lineRule="auto" w:after="20"/>
        <w:ind w:firstLine="283"/>
      </w:pPr>
      <w:r>
        <w:t>A. Politically exposed persons (PEPs).</w:t>
      </w:r>
    </w:p>
    <w:p>
      <w:pPr>
        <w:spacing w:line="360" w:lineRule="auto" w:after="20"/>
        <w:ind w:firstLine="283"/>
      </w:pPr>
      <w:r>
        <w:t>B. Capital flight risk.</w:t>
      </w:r>
    </w:p>
    <w:p>
      <w:pPr>
        <w:spacing w:line="360" w:lineRule="auto" w:after="20"/>
        <w:ind w:firstLine="283"/>
      </w:pPr>
      <w:r>
        <w:t>C. Anti-bribery and corruption risk.</w:t>
      </w:r>
    </w:p>
    <w:p>
      <w:pPr>
        <w:spacing w:line="360" w:lineRule="auto" w:after="20"/>
        <w:ind w:firstLine="283"/>
      </w:pPr>
      <w:r>
        <w:t>D. Tax evasion.</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在国有经济主导的司法管辖区中识别</w:t>
      </w:r>
      <w:r>
        <w:rPr>
          <w:b/>
        </w:rPr>
        <w:t>PEP定义与腐败风险关联</w:t>
      </w:r>
    </w:p>
    <w:p>
      <w:pPr>
        <w:spacing w:before="120" w:after="40"/>
      </w:pPr>
      <w:r>
        <w:rPr>
          <w:b/>
          <w:sz w:val="21"/>
          <w:shd w:fill="D6E4F0" w:val="clear"/>
        </w:rPr>
        <w:t>核心解析：</w:t>
      </w:r>
    </w:p>
    <w:p>
      <w:pPr>
        <w:spacing w:line="360" w:lineRule="auto" w:after="40"/>
        <w:ind w:firstLine="420"/>
      </w:pPr>
      <w:r>
        <w:t>外国政治敏感人物（PEP）包括</w:t>
      </w:r>
      <w:r>
        <w:rPr>
          <w:b/>
        </w:rPr>
        <w:t>外国政府官员以及国有企业高层</w:t>
      </w:r>
      <w:r>
        <w:rPr>
          <w:sz w:val="15"/>
          <w:vertAlign w:val="superscript"/>
        </w:rPr>
        <w:t>P320</w:t>
      </w:r>
      <w:r>
        <w:t>。题干仅说明该机构总部位于“大多数企业为国有的国家”，不能据此断定其高管一定属于国有企业高层；但在给定选项中，这一背景提示应优先核实高管是否具有国有企业或公职身份，以及是否存在公共资金关联。PEP因接触公共资金和合法招标，参与贿赂和腐败的风险更高</w:t>
      </w:r>
      <w:r>
        <w:rPr>
          <w:sz w:val="15"/>
          <w:vertAlign w:val="superscript"/>
        </w:rPr>
        <w:t>P320</w:t>
      </w:r>
      <w:r>
        <w:t>。因此，在审查这份银行合作提案时，PEP风险和反贿赂与反腐败风险是更直接的优先核查方向。</w:t>
      </w:r>
    </w:p>
    <w:p>
      <w:pPr>
        <w:spacing w:before="120" w:after="40"/>
      </w:pPr>
      <w:r>
        <w:rPr>
          <w:b/>
          <w:sz w:val="21"/>
          <w:shd w:fill="D6E4F0" w:val="clear"/>
        </w:rPr>
        <w:t>教材原句：</w:t>
      </w:r>
    </w:p>
    <w:p>
      <w:pPr>
        <w:spacing w:line="360" w:lineRule="auto" w:after="40"/>
        <w:ind w:firstLine="420"/>
      </w:pPr>
      <w:r>
        <w:t>"Foreign PEPs include officials in foreign governments, such as heads of state, senior politicians, military leaders, judicial officials, and high-ranking members of state-owned enterprises."</w:t>
      </w:r>
    </w:p>
    <w:p>
      <w:pPr>
        <w:spacing w:before="120" w:after="40"/>
      </w:pPr>
      <w:r>
        <w:rPr>
          <w:b/>
          <w:sz w:val="21"/>
          <w:shd w:fill="D6E4F0" w:val="clear"/>
        </w:rPr>
        <w:t>B项错误：</w:t>
      </w:r>
    </w:p>
    <w:p>
      <w:pPr>
        <w:spacing w:line="360" w:lineRule="auto" w:after="40"/>
        <w:ind w:firstLine="420"/>
      </w:pPr>
      <w:r>
        <w:t>资本外逃在教材中被描述为反洗钱措施薄弱地区的后果</w:t>
      </w:r>
      <w:r>
        <w:rPr>
          <w:sz w:val="15"/>
          <w:vertAlign w:val="superscript"/>
        </w:rPr>
        <w:t>P42</w:t>
      </w:r>
      <w:r>
        <w:t>，而非客户准入审查中由“国有经济主导”直接触发的优先筛查维度。题干条件更直接匹配PEP与腐败风险，资本外逃更接近宏观环境风险而非客户主体风险，匹配度不如A和C。</w:t>
      </w:r>
    </w:p>
    <w:p>
      <w:pPr>
        <w:spacing w:before="120" w:after="40"/>
      </w:pPr>
      <w:r>
        <w:rPr>
          <w:b/>
          <w:sz w:val="21"/>
          <w:shd w:fill="D6E4F0" w:val="clear"/>
        </w:rPr>
        <w:t>D项错误：</w:t>
      </w:r>
    </w:p>
    <w:p>
      <w:pPr>
        <w:spacing w:line="360" w:lineRule="auto" w:after="40"/>
        <w:ind w:firstLine="420"/>
      </w:pPr>
      <w:r>
        <w:t>税务欺诈是洗钱的上游犯罪之一</w:t>
      </w:r>
      <w:r>
        <w:rPr>
          <w:sz w:val="15"/>
          <w:vertAlign w:val="superscript"/>
        </w:rPr>
        <w:t>P22</w:t>
      </w:r>
      <w:r>
        <w:t>，但教材并未将其与“国有经济主导”或国有企业高管身份建立直接关联。相比之下，PEP风险与反贿赂腐败风险在教材中明确由公职身份和公共资金接触驱动，题干特征更优先指向这两个领域。</w:t>
      </w:r>
    </w:p>
    <w:p>
      <w:pPr>
        <w:spacing w:before="120" w:after="40"/>
      </w:pPr>
      <w:r>
        <w:rPr>
          <w:b/>
          <w:sz w:val="21"/>
          <w:shd w:fill="D6E4F0" w:val="clear"/>
        </w:rPr>
        <w:t>易错提醒：</w:t>
      </w:r>
    </w:p>
    <w:p>
      <w:pPr>
        <w:spacing w:line="360" w:lineRule="auto" w:after="40"/>
        <w:ind w:firstLine="420"/>
      </w:pPr>
      <w:r>
        <w:t>税务犯罪与腐败都是洗钱的上游犯罪</w:t>
      </w:r>
      <w:r>
        <w:rPr>
          <w:sz w:val="15"/>
          <w:vertAlign w:val="superscript"/>
        </w:rPr>
        <w:t>P22</w:t>
      </w:r>
      <w:r>
        <w:t>，但触发场景不同：</w:t>
      </w:r>
      <w:r>
        <w:rPr>
          <w:b/>
        </w:rPr>
        <w:t>腐败风险因公职身份和公共资金接触而升高</w:t>
      </w:r>
      <w:r>
        <w:rPr>
          <w:sz w:val="15"/>
          <w:vertAlign w:val="superscript"/>
        </w:rPr>
        <w:t>P320</w:t>
      </w:r>
      <w:r>
        <w:t>，题目“国有企业高层”线索直接指向腐败；税务欺诈面向所有纳税人，不具有公职身份的强关联。</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