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(EN)</w:t>
      </w:r>
    </w:p>
    <w:p>
      <w:pPr>
        <w:spacing w:line="360" w:lineRule="auto" w:after="160"/>
      </w:pPr>
      <w:r>
        <w:t>一、单项选择题</w:t>
      </w:r>
    </w:p>
    <w:p>
      <w:pPr>
        <w:spacing w:line="360" w:lineRule="auto" w:after="40"/>
      </w:pPr>
      <w:r>
        <w:t>1. During a routine periodic KYC information update, an insurance company discovers from the latest business registration documents that the policyholder's business address has changed five times in the past year and that the ultimate beneficial owner (UBO) changed two weeks ago. What actions should be taken immediately?</w:t>
      </w:r>
    </w:p>
    <w:p>
      <w:pPr>
        <w:spacing w:line="360" w:lineRule="auto" w:after="20"/>
        <w:ind w:firstLine="283"/>
      </w:pPr>
      <w:r>
        <w:t>A. Investigate the address and UBO changes and, in the meantime, decline payment and withdrawal instructions relating to the policy until the investigation is complete and next steps are agreed.</w:t>
      </w:r>
    </w:p>
    <w:p>
      <w:pPr>
        <w:spacing w:line="360" w:lineRule="auto" w:after="20"/>
        <w:ind w:firstLine="283"/>
      </w:pPr>
      <w:r>
        <w:t>B. Request that the relationship manager arrange a meeting with the policyholder to update the address and submit details of the new UBO in the name of providing good customer service.</w:t>
      </w:r>
    </w:p>
    <w:p>
      <w:pPr>
        <w:spacing w:line="360" w:lineRule="auto" w:after="20"/>
        <w:ind w:firstLine="283"/>
      </w:pPr>
      <w:r>
        <w:t>C. Investigate the address and UBO changes and, in the meantime, freeze the client's policy.</w:t>
      </w:r>
    </w:p>
    <w:p>
      <w:pPr>
        <w:spacing w:line="360" w:lineRule="auto" w:after="20"/>
        <w:ind w:firstLine="283"/>
      </w:pPr>
      <w:r>
        <w:t>D. File a suspicious transaction report because the insurance company was not informed of the business's change in UBO.</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根据客户信息重大变化判断是否采取交易限制与调查</w:t>
      </w:r>
    </w:p>
    <w:p>
      <w:pPr>
        <w:spacing w:before="120" w:after="40"/>
      </w:pPr>
      <w:r>
        <w:rPr>
          <w:b/>
          <w:sz w:val="21"/>
          <w:shd w:fill="D6E4F0" w:val="clear"/>
        </w:rPr>
        <w:t>核心解析：</w:t>
      </w:r>
    </w:p>
    <w:p>
      <w:pPr>
        <w:spacing w:line="360" w:lineRule="auto" w:after="40"/>
        <w:ind w:firstLine="420"/>
      </w:pPr>
      <w:r>
        <w:t>地址在一年内多次变更、UBO又于近期发生变化，至少构成需要立即核实的</w:t>
      </w:r>
      <w:r>
        <w:rPr>
          <w:b/>
        </w:rPr>
        <w:t>重大客户信息变化</w:t>
      </w:r>
      <w:r>
        <w:t>。机构应</w:t>
      </w:r>
      <w:r>
        <w:rPr>
          <w:b/>
        </w:rPr>
        <w:t>调查变更原因、更新客户和受益所有人资料，并根据调查结果重新评估风险</w:t>
      </w:r>
      <w:r>
        <w:t>，必要时启动EDD或采取临时限制措施</w:t>
      </w:r>
      <w:r>
        <w:rPr>
          <w:sz w:val="15"/>
          <w:vertAlign w:val="superscript"/>
        </w:rPr>
        <w:t>P312</w:t>
      </w:r>
      <w:r>
        <w:t>。教材所述的“停止并持有直至调查完成”适用于支付筛查命中制裁名单的情形</w:t>
      </w:r>
      <w:r>
        <w:rPr>
          <w:sz w:val="15"/>
          <w:vertAlign w:val="superscript"/>
        </w:rPr>
        <w:t>P329</w:t>
      </w:r>
      <w:r>
        <w:t>，而本题并无制裁命中信息。因此，A是四项中相对完整的风险控制组合，但其中“拒绝付款和提款”应理解为依调查情况和机构政策决定的临时控制，</w:t>
      </w:r>
      <w:r>
        <w:rPr>
          <w:b/>
        </w:rPr>
        <w:t>不能仅凭地址或UBO变化自动实施</w:t>
      </w:r>
      <w:r>
        <w:t>。</w:t>
      </w:r>
    </w:p>
    <w:p>
      <w:pPr>
        <w:spacing w:line="360" w:lineRule="auto" w:after="40"/>
        <w:ind w:firstLine="420"/>
      </w:pPr>
      <w:r>
        <w:t>制裁筛查命中后应停止并持有相关支付</w:t>
      </w:r>
      <w:r>
        <w:rPr>
          <w:sz w:val="15"/>
          <w:vertAlign w:val="superscript"/>
        </w:rPr>
        <w:t>P329</w:t>
      </w:r>
      <w:r>
        <w:t>；对高风险客户也可以采取临时或永久限制</w:t>
      </w:r>
      <w:r>
        <w:rPr>
          <w:sz w:val="15"/>
          <w:vertAlign w:val="superscript"/>
        </w:rPr>
        <w:t>P312</w:t>
      </w:r>
      <w:r>
        <w:t>。但地址或UBO发生变化并不必然导致拒绝付款和提款，A中的交易限制仍须结合调查结果、EDD及机构政策实施。</w:t>
      </w:r>
    </w:p>
    <w:p>
      <w:pPr>
        <w:spacing w:before="120" w:after="40"/>
      </w:pPr>
      <w:r>
        <w:rPr>
          <w:b/>
          <w:sz w:val="21"/>
          <w:shd w:fill="D6E4F0" w:val="clear"/>
        </w:rPr>
        <w:t>教材原句：</w:t>
      </w:r>
    </w:p>
    <w:p>
      <w:pPr>
        <w:spacing w:line="360" w:lineRule="auto" w:after="40"/>
        <w:ind w:firstLine="420"/>
      </w:pPr>
      <w:r>
        <w:t>"Payment or transaction screening reviews payments made and received by customers. It reviews payments made to or from parties on sanctions lists. If a match is detected, it is stopped and held until investigations are complete."</w:t>
      </w:r>
    </w:p>
    <w:p>
      <w:pPr>
        <w:spacing w:before="120" w:after="40"/>
      </w:pPr>
      <w:r>
        <w:rPr>
          <w:b/>
          <w:sz w:val="21"/>
          <w:shd w:fill="D6E4F0" w:val="clear"/>
        </w:rPr>
        <w:t>B项错误：</w:t>
      </w:r>
    </w:p>
    <w:p>
      <w:pPr>
        <w:spacing w:line="360" w:lineRule="auto" w:after="40"/>
        <w:ind w:firstLine="420"/>
      </w:pPr>
      <w:r>
        <w:t>更新资料本身是必要步骤，但B把行动限缩为客户服务安排，没有要求先调查频繁地址变化和新UBO的真实性、控制关系及资金风险；因此不足以回应题干的异常信号。</w:t>
      </w:r>
    </w:p>
    <w:p>
      <w:pPr>
        <w:spacing w:before="120" w:after="40"/>
      </w:pPr>
      <w:r>
        <w:rPr>
          <w:b/>
          <w:sz w:val="21"/>
          <w:shd w:fill="D6E4F0" w:val="clear"/>
        </w:rPr>
        <w:t>C项错误：</w:t>
      </w:r>
    </w:p>
    <w:p>
      <w:pPr>
        <w:spacing w:line="360" w:lineRule="auto" w:after="40"/>
        <w:ind w:firstLine="420"/>
      </w:pPr>
      <w:r>
        <w:t>“冻结保单”可能影响整个合同关系，范围大于针对具体付款/提款的临时限制；在未完成风险评估前，不能仅凭题干事实直接推出全面冻结。</w:t>
      </w:r>
    </w:p>
    <w:p>
      <w:pPr>
        <w:spacing w:before="120" w:after="40"/>
      </w:pPr>
      <w:r>
        <w:rPr>
          <w:b/>
          <w:sz w:val="21"/>
          <w:shd w:fill="D6E4F0" w:val="clear"/>
        </w:rPr>
        <w:t>D项错误：</w:t>
      </w:r>
    </w:p>
    <w:p>
      <w:pPr>
        <w:spacing w:line="360" w:lineRule="auto" w:after="40"/>
        <w:ind w:firstLine="420"/>
      </w:pPr>
      <w:r>
        <w:t>发现地址和UBO变更并不自动等于可疑交易已经成立。流程上应先调查并审视事实，再决定是否提交可疑交易报告。因此，更直接的做法是A项先调查、限交易，而非越过调查直接提交报告。</w:t>
      </w:r>
    </w:p>
    <w:p>
      <w:pPr>
        <w:spacing w:before="120" w:after="40"/>
      </w:pPr>
      <w:r>
        <w:rPr>
          <w:b/>
          <w:sz w:val="21"/>
          <w:shd w:fill="D6E4F0" w:val="clear"/>
        </w:rPr>
        <w:t>易错提醒：</w:t>
      </w:r>
    </w:p>
    <w:p>
      <w:pPr>
        <w:spacing w:line="360" w:lineRule="auto" w:after="40"/>
        <w:ind w:firstLine="420"/>
      </w:pPr>
      <w:r>
        <w:t>需区分“拒绝支付指令（decline payment）”与“冻结保单（freeze the policy）”。前者是可随调查、EDD和机构政策采取的交易层面临时控制；后者影响范围更广。题干没有制裁名单命中事实，不能把教材所述的制裁筛查规则机械套用为自动拒付规则</w:t>
      </w:r>
      <w:r>
        <w:rPr>
          <w:sz w:val="15"/>
          <w:vertAlign w:val="superscript"/>
        </w:rPr>
        <w:t>P329</w:t>
      </w:r>
      <w:r>
        <w:t>。</w:t>
      </w:r>
    </w:p>
    <w:p>
      <w:pPr>
        <w:spacing w:line="360" w:lineRule="auto" w:after="120"/>
      </w:pPr>
      <w:r/>
    </w:p>
    <w:p>
      <w:pPr>
        <w:spacing w:line="360" w:lineRule="auto" w:after="40"/>
      </w:pPr>
      <w:r>
        <w:t>2. In a large U.S. bank, an individual leads a team in charge of overseeing the governance and effectiveness of the bank's transaction monitoring approach. Which strategies should the team implement? (Select Two.)</w:t>
      </w:r>
    </w:p>
    <w:p>
      <w:pPr>
        <w:spacing w:line="360" w:lineRule="auto" w:after="20"/>
        <w:ind w:firstLine="283"/>
      </w:pPr>
      <w:r>
        <w:t>A. Periodic and ad hoc cooperation with the legal team to appropriately investigate and monitor the transactions of subjects of subpoenas or government inquiries.</w:t>
      </w:r>
    </w:p>
    <w:p>
      <w:pPr>
        <w:spacing w:line="360" w:lineRule="auto" w:after="20"/>
        <w:ind w:firstLine="283"/>
      </w:pPr>
      <w:r>
        <w:t>B. Periodic review of client profiles to ensure that the most up-to-date information is on file for high-risk clients in line with the bank's internal policies and procedures.</w:t>
      </w:r>
    </w:p>
    <w:p>
      <w:pPr>
        <w:spacing w:line="360" w:lineRule="auto" w:after="20"/>
        <w:ind w:firstLine="283"/>
      </w:pPr>
      <w:r>
        <w:t>C. Periodic review of suspicious activity reports (SARs) filed with FinCEN to determine whether any should be withdrawn.</w:t>
      </w:r>
    </w:p>
    <w:p>
      <w:pPr>
        <w:spacing w:line="360" w:lineRule="auto" w:after="20"/>
        <w:ind w:firstLine="283"/>
      </w:pPr>
      <w:r>
        <w:t>D. Periodic review of transaction monitoring scenarios and their productivity to ensure that appropriate AML typologies are reflected.</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交易监控治理所需的客户画像维护与场景有效性审查</w:t>
      </w:r>
    </w:p>
    <w:p>
      <w:pPr>
        <w:spacing w:before="120" w:after="40"/>
      </w:pPr>
      <w:r>
        <w:rPr>
          <w:b/>
          <w:sz w:val="21"/>
          <w:shd w:fill="D6E4F0" w:val="clear"/>
        </w:rPr>
        <w:t>核心解析：</w:t>
      </w:r>
    </w:p>
    <w:p>
      <w:pPr>
        <w:spacing w:line="360" w:lineRule="auto" w:after="40"/>
        <w:ind w:firstLine="420"/>
      </w:pPr>
      <w:r>
        <w:t>交易监控并非只依赖交易金额或频率，还要以</w:t>
      </w:r>
      <w:r>
        <w:rPr>
          <w:b/>
        </w:rPr>
        <w:t>客户画像所界定的正常活动参数</w:t>
      </w:r>
      <w:r>
        <w:t>为比较基准；客户活动超出其画像的正常参数时，系统才生成警报</w:t>
      </w:r>
      <w:r>
        <w:rPr>
          <w:sz w:val="15"/>
          <w:vertAlign w:val="superscript"/>
        </w:rPr>
        <w:t>P328</w:t>
      </w:r>
      <w:r>
        <w:t>。因此，高风险客户档案必须按风险等级定期更新客户信息、业务活动和风险分类</w:t>
      </w:r>
      <w:r>
        <w:rPr>
          <w:sz w:val="15"/>
          <w:vertAlign w:val="superscript"/>
        </w:rPr>
        <w:t>P315</w:t>
      </w:r>
      <w:r>
        <w:t>，选项B为交易监控提供持续有效的比较基准。场景部署后还应持续测试和调优以确保有效性</w:t>
      </w:r>
      <w:r>
        <w:rPr>
          <w:sz w:val="15"/>
          <w:vertAlign w:val="superscript"/>
        </w:rPr>
        <w:t>P446</w:t>
      </w:r>
      <w:r>
        <w:t>，故选项D直接对应题干中的“governance and effectiveness”。两项分别保障监控输入数据与监控场景本身。</w:t>
      </w:r>
    </w:p>
    <w:p>
      <w:pPr>
        <w:spacing w:before="120" w:after="40"/>
      </w:pPr>
      <w:r>
        <w:rPr>
          <w:b/>
          <w:sz w:val="21"/>
          <w:shd w:fill="D6E4F0" w:val="clear"/>
        </w:rPr>
        <w:t>教材原句：</w:t>
      </w:r>
    </w:p>
    <w:p>
      <w:pPr>
        <w:spacing w:line="360" w:lineRule="auto" w:after="40"/>
        <w:ind w:firstLine="420"/>
      </w:pPr>
      <w:r>
        <w:t>"Transaction monitoring systems generate alerts when customer activity or behavior is beyond normal parameters for the customer profile."</w:t>
      </w:r>
      <w:r>
        <w:rPr>
          <w:sz w:val="15"/>
          <w:vertAlign w:val="superscript"/>
        </w:rPr>
        <w:t>P328</w:t>
      </w:r>
    </w:p>
    <w:p>
      <w:pPr>
        <w:spacing w:before="120" w:after="40"/>
      </w:pPr>
      <w:r>
        <w:rPr>
          <w:b/>
          <w:sz w:val="21"/>
          <w:shd w:fill="D6E4F0" w:val="clear"/>
        </w:rPr>
        <w:t>A项错误：</w:t>
      </w:r>
    </w:p>
    <w:p>
      <w:pPr>
        <w:spacing w:line="360" w:lineRule="auto" w:after="40"/>
        <w:ind w:firstLine="420"/>
      </w:pPr>
      <w:r>
        <w:t>与法律团队建立关系的教材语境是“回应执法机构请求”，目的在于提高响应透明度、问责性和速度</w:t>
      </w:r>
      <w:r>
        <w:rPr>
          <w:sz w:val="15"/>
          <w:vertAlign w:val="superscript"/>
        </w:rPr>
        <w:t>P362</w:t>
      </w:r>
      <w:r>
        <w:t>。它是执法请求响应安排，并非对交易监控方法本身进行治理或有效性测试。</w:t>
      </w:r>
    </w:p>
    <w:p>
      <w:pPr>
        <w:spacing w:before="120" w:after="40"/>
      </w:pPr>
      <w:r>
        <w:rPr>
          <w:b/>
          <w:sz w:val="21"/>
          <w:shd w:fill="D6E4F0" w:val="clear"/>
        </w:rPr>
        <w:t>C项错误：</w:t>
      </w:r>
    </w:p>
    <w:p>
      <w:pPr>
        <w:spacing w:line="360" w:lineRule="auto" w:after="40"/>
        <w:ind w:firstLine="420"/>
      </w:pPr>
      <w:r>
        <w:t>选项C审查的是已经向FinCEN提交的SAR并考虑撤回，题干要求的是交易监控方法的治理和有效性；该选项既不维护客户画像，也不审查监控场景。</w:t>
      </w:r>
    </w:p>
    <w:p>
      <w:pPr>
        <w:spacing w:before="120" w:after="40"/>
      </w:pPr>
      <w:r>
        <w:rPr>
          <w:b/>
          <w:sz w:val="21"/>
          <w:shd w:fill="D6E4F0" w:val="clear"/>
        </w:rPr>
        <w:t>易错提醒：</w:t>
      </w:r>
    </w:p>
    <w:p>
      <w:pPr>
        <w:spacing w:line="360" w:lineRule="auto" w:after="40"/>
        <w:ind w:firstLine="420"/>
      </w:pPr>
      <w:r>
        <w:t>不要把“客户档案维护”与“场景调优”视为互斥职责。前者维护监控所依赖的客户正常行为基准</w:t>
      </w:r>
      <w:r>
        <w:rPr>
          <w:sz w:val="15"/>
          <w:vertAlign w:val="superscript"/>
        </w:rPr>
        <w:t>P315、P328</w:t>
      </w:r>
      <w:r>
        <w:t>，后者验证规则能否有效发现偏离</w:t>
      </w:r>
      <w:r>
        <w:rPr>
          <w:sz w:val="15"/>
          <w:vertAlign w:val="superscript"/>
        </w:rPr>
        <w:t>P446</w:t>
      </w:r>
      <w:r>
        <w:t>；两者共同影响交易监控方法的有效性。</w:t>
      </w:r>
    </w:p>
    <w:p>
      <w:pPr>
        <w:spacing w:line="360" w:lineRule="auto" w:after="120"/>
      </w:pPr>
      <w:r/>
    </w:p>
    <w:p>
      <w:pPr>
        <w:spacing w:line="360" w:lineRule="auto" w:after="40"/>
      </w:pPr>
      <w:r>
        <w:t>3. Technology has the potential to increase the efficiency and effectiveness of AML/CFT workflows by: (Select Two.)</w:t>
      </w:r>
    </w:p>
    <w:p>
      <w:pPr>
        <w:spacing w:line="360" w:lineRule="auto" w:after="20"/>
        <w:ind w:firstLine="283"/>
      </w:pPr>
      <w:r>
        <w:t>A. Eliminating backlogs through the ability to process large volumes of data.</w:t>
      </w:r>
    </w:p>
    <w:p>
      <w:pPr>
        <w:spacing w:line="360" w:lineRule="auto" w:after="20"/>
        <w:ind w:firstLine="283"/>
      </w:pPr>
      <w:r>
        <w:t>B. Minimizing privacy concerns through minimized human intervention.</w:t>
      </w:r>
    </w:p>
    <w:p>
      <w:pPr>
        <w:spacing w:line="360" w:lineRule="auto" w:after="20"/>
        <w:ind w:firstLine="283"/>
      </w:pPr>
      <w:r>
        <w:t>C. Minimizing human intervention in repetitive tasks, increasing data accuracy.</w:t>
      </w:r>
    </w:p>
    <w:p>
      <w:pPr>
        <w:spacing w:line="360" w:lineRule="auto" w:after="20"/>
        <w:ind w:firstLine="283"/>
      </w:pPr>
      <w:r>
        <w:t>D. Allowing analysts to conduct automatic one-stop searches at the front end.</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识别技术提升反洗钱效率与效果的两类核心路径</w:t>
      </w:r>
    </w:p>
    <w:p>
      <w:pPr>
        <w:spacing w:before="120" w:after="40"/>
      </w:pPr>
      <w:r>
        <w:rPr>
          <w:b/>
          <w:sz w:val="21"/>
          <w:shd w:fill="D6E4F0" w:val="clear"/>
        </w:rPr>
        <w:t>核心解析：</w:t>
      </w:r>
    </w:p>
    <w:p>
      <w:pPr>
        <w:spacing w:line="360" w:lineRule="auto" w:after="40"/>
        <w:ind w:firstLine="420"/>
      </w:pPr>
      <w:r>
        <w:t>题干考察技术如何同时提高反洗钱工作流程的效率和效果。自动化系统能够即时检查海量数据，由此可显著减少人工处理能力造成的积压，对应选项A</w:t>
      </w:r>
      <w:r>
        <w:rPr>
          <w:sz w:val="15"/>
          <w:vertAlign w:val="superscript"/>
        </w:rPr>
        <w:t>P330</w:t>
      </w:r>
      <w:r>
        <w:t>；但A中的“消除”不应理解为保证任何情况下都不存在积压。对于重复任务，教材主张由技术自动化，同时</w:t>
      </w:r>
      <w:r>
        <w:rPr>
          <w:b/>
        </w:rPr>
        <w:t>保留专家对最终决策的监督</w:t>
      </w:r>
      <w:r>
        <w:t>；这种平衡方法可确保准确性、合规性和有效风险缓释，直接对应选项C所说的减少重复任务中的人工干预并提高数据准确性</w:t>
      </w:r>
      <w:r>
        <w:rPr>
          <w:sz w:val="15"/>
          <w:vertAlign w:val="superscript"/>
        </w:rPr>
        <w:t>P452</w:t>
      </w:r>
      <w:r>
        <w:t>。</w:t>
      </w:r>
    </w:p>
    <w:p>
      <w:pPr>
        <w:spacing w:before="120" w:after="40"/>
      </w:pPr>
      <w:r>
        <w:rPr>
          <w:b/>
          <w:sz w:val="21"/>
          <w:shd w:fill="D6E4F0" w:val="clear"/>
        </w:rPr>
        <w:t>教材原句：</w:t>
      </w:r>
    </w:p>
    <w:p>
      <w:pPr>
        <w:spacing w:line="360" w:lineRule="auto" w:after="40"/>
        <w:ind w:firstLine="420"/>
      </w:pPr>
      <w:r>
        <w:t>"These automated systems can check vast amounts of data instantly."</w:t>
      </w:r>
      <w:r>
        <w:rPr>
          <w:sz w:val="15"/>
          <w:vertAlign w:val="superscript"/>
        </w:rPr>
        <w:t>P330</w:t>
      </w:r>
    </w:p>
    <w:p>
      <w:pPr>
        <w:spacing w:before="120" w:after="40"/>
      </w:pPr>
      <w:r>
        <w:rPr>
          <w:b/>
          <w:sz w:val="21"/>
          <w:shd w:fill="D6E4F0" w:val="clear"/>
        </w:rPr>
        <w:t>B项错误：</w:t>
      </w:r>
    </w:p>
    <w:p>
      <w:pPr>
        <w:spacing w:line="360" w:lineRule="auto" w:after="40"/>
        <w:ind w:firstLine="420"/>
      </w:pPr>
      <w:r>
        <w:t>教材强调组织应负责任地使用AI、尊重数据隐私</w:t>
      </w:r>
      <w:r>
        <w:rPr>
          <w:sz w:val="15"/>
          <w:vertAlign w:val="superscript"/>
        </w:rPr>
        <w:t>P388</w:t>
      </w:r>
      <w:r>
        <w:t>，但未提出“减少人为干预”能够“最小化隐私担忧”；相反，自动处理大量数据反而可能引发新的隐私与数据保护问题，因此该逻辑链不如A和C直接匹配教材对技术效益的界定。</w:t>
      </w:r>
    </w:p>
    <w:p>
      <w:pPr>
        <w:spacing w:before="120" w:after="40"/>
      </w:pPr>
      <w:r>
        <w:rPr>
          <w:b/>
          <w:sz w:val="21"/>
          <w:shd w:fill="D6E4F0" w:val="clear"/>
        </w:rPr>
        <w:t>D项错误：</w:t>
      </w:r>
    </w:p>
    <w:p>
      <w:pPr>
        <w:spacing w:line="360" w:lineRule="auto" w:after="40"/>
        <w:ind w:firstLine="420"/>
      </w:pPr>
      <w:r>
        <w:t>“前端自动一站式搜索”可能提升特定检索环节的效率，但它不是提高整个AML/CFT工作流效率和效果的通用机制；相比之下，A、C分别直接对应海量数据处理和重复任务自动化。</w:t>
      </w:r>
    </w:p>
    <w:p>
      <w:pPr>
        <w:spacing w:before="120" w:after="40"/>
      </w:pPr>
      <w:r>
        <w:rPr>
          <w:b/>
          <w:sz w:val="21"/>
          <w:shd w:fill="D6E4F0" w:val="clear"/>
        </w:rPr>
        <w:t>易错提醒：</w:t>
      </w:r>
    </w:p>
    <w:p>
      <w:pPr>
        <w:spacing w:line="360" w:lineRule="auto" w:after="40"/>
        <w:ind w:firstLine="420"/>
      </w:pPr>
      <w:r>
        <w:t>减少人工干预只有在“重复任务”这一限定下才与教材一致，同时仍要保留专家对最终决策的监督</w:t>
      </w:r>
      <w:r>
        <w:rPr>
          <w:sz w:val="15"/>
          <w:vertAlign w:val="superscript"/>
        </w:rPr>
        <w:t>P452</w:t>
      </w:r>
      <w:r>
        <w:t>；不能把减少人工参与泛化为自动解决隐私问题或完全自动调查。</w:t>
      </w:r>
    </w:p>
    <w:p>
      <w:pPr>
        <w:spacing w:line="360" w:lineRule="auto" w:after="120"/>
      </w:pPr>
      <w:r/>
    </w:p>
    <w:p>
      <w:pPr>
        <w:spacing w:line="360" w:lineRule="auto" w:after="40"/>
      </w:pPr>
      <w:r>
        <w:t>4. An institution is looking to alter an existing threshold-based monitoring scenario because it is generating too many alerts that do not yield suspicious activity reports. Documentation submitted to the relevant committee to support this proposal should include details on: (Choose Three.)</w:t>
      </w:r>
    </w:p>
    <w:p>
      <w:pPr>
        <w:spacing w:line="360" w:lineRule="auto" w:after="20"/>
        <w:ind w:firstLine="283"/>
      </w:pPr>
      <w:r>
        <w:t>A. Evidence that the increased residual risk arising from the change is within the bank's risk appetite.</w:t>
      </w:r>
    </w:p>
    <w:p>
      <w:pPr>
        <w:spacing w:line="360" w:lineRule="auto" w:after="20"/>
        <w:ind w:firstLine="283"/>
      </w:pPr>
      <w:r>
        <w:t>B. Approval by the money-laundering reporting officer for the proposal.</w:t>
      </w:r>
    </w:p>
    <w:p>
      <w:pPr>
        <w:spacing w:line="360" w:lineRule="auto" w:after="20"/>
        <w:ind w:firstLine="283"/>
      </w:pPr>
      <w:r>
        <w:t>C. How many resources are spent on the less productive lower threshold and the associated costs.</w:t>
      </w:r>
    </w:p>
    <w:p>
      <w:pPr>
        <w:spacing w:line="360" w:lineRule="auto" w:after="20"/>
        <w:ind w:firstLine="283"/>
      </w:pPr>
      <w:r>
        <w:t>D. The number of cases that will not be filed and the resources that can be freed up for other tasks.</w:t>
      </w:r>
    </w:p>
    <w:p>
      <w:pPr>
        <w:spacing w:line="360" w:lineRule="auto" w:after="20"/>
        <w:ind w:firstLine="283"/>
      </w:pPr>
      <w:r>
        <w:t>E. Minutes of a meeting held with the regulator where agreement was obtained that the higher threshold was justified.</w:t>
      </w:r>
    </w:p>
    <w:p>
      <w:pPr>
        <w:spacing w:line="360" w:lineRule="auto" w:after="20"/>
        <w:ind w:firstLine="283"/>
      </w:pPr>
      <w:r>
        <w:t>F. Historical analysis proving that the current scenario generates a disproportionate number of false positives.</w:t>
      </w:r>
    </w:p>
    <w:p>
      <w:pPr>
        <w:spacing w:line="360" w:lineRule="auto" w:after="40"/>
      </w:pPr>
      <w:r>
        <w:t>答案：A、C、F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阈值调优提案需覆盖风险论证、资源释放和问题证据</w:t>
      </w:r>
    </w:p>
    <w:p>
      <w:pPr>
        <w:spacing w:before="120" w:after="40"/>
      </w:pPr>
      <w:r>
        <w:rPr>
          <w:b/>
          <w:sz w:val="21"/>
          <w:shd w:fill="D6E4F0" w:val="clear"/>
        </w:rPr>
        <w:t>核心解析：</w:t>
      </w:r>
    </w:p>
    <w:p>
      <w:pPr>
        <w:spacing w:line="360" w:lineRule="auto" w:after="40"/>
        <w:ind w:firstLine="420"/>
      </w:pPr>
      <w:r>
        <w:t>题干描述的是</w:t>
      </w:r>
      <w:r>
        <w:rPr>
          <w:b/>
        </w:rPr>
        <w:t>交易监控场景调优</w:t>
      </w:r>
      <w:r>
        <w:t>：现有阈值产生大量警报，却很少转化为可疑活动报告。支持调优提案需要说明三个方面。第一，提高阈值可能改变控制效果并增加剩余风险，因此应确认变更后的风险仍处于机构的</w:t>
      </w:r>
      <w:r>
        <w:rPr>
          <w:b/>
        </w:rPr>
        <w:t>风险偏好或容忍度</w:t>
      </w:r>
      <w:r>
        <w:t>内</w:t>
      </w:r>
      <w:r>
        <w:rPr>
          <w:sz w:val="15"/>
          <w:vertAlign w:val="superscript"/>
        </w:rPr>
        <w:t>P279</w:t>
      </w:r>
      <w:r>
        <w:t>。第二，选项C要求量化当前低阈值消耗的资源和成本；</w:t>
      </w:r>
      <w:r>
        <w:rPr>
          <w:b/>
        </w:rPr>
        <w:t>减少误报、提高资源使用效率</w:t>
      </w:r>
      <w:r>
        <w:t>是阈值设定的重要目标，过多警报也会增加人工工作量和运营成本</w:t>
      </w:r>
      <w:r>
        <w:rPr>
          <w:sz w:val="15"/>
          <w:vertAlign w:val="superscript"/>
        </w:rPr>
        <w:t>P331、P383</w:t>
      </w:r>
      <w:r>
        <w:t>。第三，选项F要求用历史分析确认当前场景确实产生了过多误报；交易监控场景需要</w:t>
      </w:r>
      <w:r>
        <w:rPr>
          <w:b/>
        </w:rPr>
        <w:t>持续测试和调优</w:t>
      </w:r>
      <w:r>
        <w:t>，测试不足会造成场景过时和误报过多</w:t>
      </w:r>
      <w:r>
        <w:rPr>
          <w:sz w:val="15"/>
          <w:vertAlign w:val="superscript"/>
        </w:rPr>
        <w:t>P446</w:t>
      </w:r>
      <w:r>
        <w:t>。因此应选A、C、F。D项所说的“不提交案件”混淆了警报、调查和后续报告等环节，不能替代对误报率、资源成本和剩余风险的分析。</w:t>
      </w:r>
    </w:p>
    <w:p>
      <w:pPr>
        <w:spacing w:before="120" w:after="40"/>
      </w:pPr>
      <w:r>
        <w:rPr>
          <w:b/>
          <w:sz w:val="21"/>
          <w:shd w:fill="D6E4F0" w:val="clear"/>
        </w:rPr>
        <w:t>B项错误：</w:t>
      </w:r>
    </w:p>
    <w:p>
      <w:pPr>
        <w:spacing w:line="360" w:lineRule="auto" w:after="40"/>
        <w:ind w:firstLine="420"/>
      </w:pPr>
      <w:r>
        <w:t>题干问的是提交给委员会、用于支持阈值调整的文件内容，而不是批准流程中的签字人。提案应重点说明风险变化、历史表现和资源影响，MLRO个人批准不能替代这些分析。</w:t>
      </w:r>
    </w:p>
    <w:p>
      <w:pPr>
        <w:spacing w:before="120" w:after="40"/>
      </w:pPr>
      <w:r>
        <w:rPr>
          <w:b/>
          <w:sz w:val="21"/>
          <w:shd w:fill="D6E4F0" w:val="clear"/>
        </w:rPr>
        <w:t>D项错误：</w:t>
      </w:r>
    </w:p>
    <w:p>
      <w:pPr>
        <w:spacing w:line="360" w:lineRule="auto" w:after="40"/>
        <w:ind w:firstLine="420"/>
      </w:pPr>
      <w:r>
        <w:t>阈值变更影响告警生成和后续调查入口；“不提交案件”把告警、调查、SAR/诉讼等不同阶段混在一起，且不能先验断定未生成或未提交的案件都没有价值。资源效率应由现状成本、误报率和KPI量化，而不是用未经定义的“未提交案件数量”替代。</w:t>
      </w:r>
    </w:p>
    <w:p>
      <w:pPr>
        <w:spacing w:before="120" w:after="40"/>
      </w:pPr>
      <w:r>
        <w:rPr>
          <w:b/>
          <w:sz w:val="21"/>
          <w:shd w:fill="D6E4F0" w:val="clear"/>
        </w:rPr>
        <w:t>E项错误：</w:t>
      </w:r>
    </w:p>
    <w:p>
      <w:pPr>
        <w:spacing w:line="360" w:lineRule="auto" w:after="40"/>
        <w:ind w:firstLine="420"/>
      </w:pPr>
      <w:r>
        <w:t>机构可以就监管期望与监管机构沟通，但选项要求监管机构事先同意提高阈值。题干所问的支持材料应由机构用内部数据说明风险、误报和资源影响，外部沟通纪要不能替代内部治理和调优论证。</w:t>
      </w:r>
    </w:p>
    <w:p>
      <w:pPr>
        <w:spacing w:before="120" w:after="40"/>
      </w:pPr>
      <w:r>
        <w:rPr>
          <w:b/>
          <w:sz w:val="21"/>
          <w:shd w:fill="D6E4F0" w:val="clear"/>
        </w:rPr>
        <w:t>易错提醒：</w:t>
      </w:r>
    </w:p>
    <w:p>
      <w:pPr>
        <w:spacing w:line="360" w:lineRule="auto" w:after="40"/>
        <w:ind w:firstLine="420"/>
      </w:pPr>
      <w:r>
        <w:t>注意区分三类信息：风险偏好界定变更后的风险边界</w:t>
      </w:r>
      <w:r>
        <w:rPr>
          <w:sz w:val="15"/>
          <w:vertAlign w:val="superscript"/>
        </w:rPr>
        <w:t>P279</w:t>
      </w:r>
      <w:r>
        <w:t>，资源和成本反映调优收益</w:t>
      </w:r>
      <w:r>
        <w:rPr>
          <w:sz w:val="15"/>
          <w:vertAlign w:val="superscript"/>
        </w:rPr>
        <w:t>P331、P383</w:t>
      </w:r>
      <w:r>
        <w:t>，历史误报分析反映场景表现</w:t>
      </w:r>
      <w:r>
        <w:rPr>
          <w:sz w:val="15"/>
          <w:vertAlign w:val="superscript"/>
        </w:rPr>
        <w:t>P446</w:t>
      </w:r>
      <w:r>
        <w:t>。三者都围绕监控场景本身，不应与MLRO个人签字、监管机构事先同意或下游诉讼结果混为一谈。</w:t>
      </w:r>
    </w:p>
    <w:p>
      <w:pPr>
        <w:spacing w:line="360" w:lineRule="auto" w:after="120"/>
      </w:pPr>
      <w:r/>
    </w:p>
    <w:p>
      <w:pPr>
        <w:spacing w:line="360" w:lineRule="auto" w:after="40"/>
      </w:pPr>
      <w:r>
        <w:t>5. Which benefits are most commonly associated with transitioning from a rules-based approach to artificial intelligence (AI) and machine learning-based tools in transaction monitoring? (Choose Three.)</w:t>
      </w:r>
    </w:p>
    <w:p>
      <w:pPr>
        <w:spacing w:line="360" w:lineRule="auto" w:after="20"/>
        <w:ind w:firstLine="283"/>
      </w:pPr>
      <w:r>
        <w:t>A. Reduction in the number of false positives in the long term.</w:t>
      </w:r>
    </w:p>
    <w:p>
      <w:pPr>
        <w:spacing w:line="360" w:lineRule="auto" w:after="20"/>
        <w:ind w:firstLine="283"/>
      </w:pPr>
      <w:r>
        <w:t>B. Complete automation of compliance processes.</w:t>
      </w:r>
    </w:p>
    <w:p>
      <w:pPr>
        <w:spacing w:line="360" w:lineRule="auto" w:after="20"/>
        <w:ind w:firstLine="283"/>
      </w:pPr>
      <w:r>
        <w:t>C. Elimination of the need for human oversight.</w:t>
      </w:r>
    </w:p>
    <w:p>
      <w:pPr>
        <w:spacing w:line="360" w:lineRule="auto" w:after="20"/>
        <w:ind w:firstLine="283"/>
      </w:pPr>
      <w:r>
        <w:t>D. Increased flexibility in adapting to changing financial crime risks.</w:t>
      </w:r>
    </w:p>
    <w:p>
      <w:pPr>
        <w:spacing w:line="360" w:lineRule="auto" w:after="20"/>
        <w:ind w:firstLine="283"/>
      </w:pPr>
      <w:r>
        <w:t>E. Enhanced ability to detect emerging patterns and anomalies.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AI/机器学习替代规则系统的核心价值：动态适应性与模式发现能力</w:t>
      </w:r>
    </w:p>
    <w:p>
      <w:pPr>
        <w:spacing w:before="120" w:after="40"/>
      </w:pPr>
      <w:r>
        <w:rPr>
          <w:b/>
          <w:sz w:val="21"/>
          <w:shd w:fill="D6E4F0" w:val="clear"/>
        </w:rPr>
        <w:t>核心解析：</w:t>
      </w:r>
    </w:p>
    <w:p>
      <w:pPr>
        <w:spacing w:line="360" w:lineRule="auto" w:after="40"/>
        <w:ind w:firstLine="420"/>
      </w:pPr>
      <w:r>
        <w:t>传统规则系统基于静态的“IF:THEN”逻辑，依赖预设阈值触发警报，难以应对不断变化的洗钱手法</w:t>
      </w:r>
      <w:r>
        <w:rPr>
          <w:sz w:val="15"/>
          <w:vertAlign w:val="superscript"/>
        </w:rPr>
        <w:t>P330</w:t>
      </w:r>
      <w:r>
        <w:t>。AI和机器学习的核心优势在于：一是</w:t>
      </w:r>
      <w:r>
        <w:rPr>
          <w:b/>
        </w:rPr>
        <w:t>动态学习能力</w:t>
      </w:r>
      <w:r>
        <w:t>，能从历史数据和模式识别中持续优化，</w:t>
      </w:r>
      <w:r>
        <w:rPr>
          <w:b/>
        </w:rPr>
        <w:t>减少误报</w:t>
      </w:r>
      <w:r>
        <w:rPr>
          <w:sz w:val="15"/>
          <w:vertAlign w:val="superscript"/>
        </w:rPr>
        <w:t>P385</w:t>
      </w:r>
      <w:r>
        <w:t>，即选项A的来源；二是</w:t>
      </w:r>
      <w:r>
        <w:rPr>
          <w:b/>
        </w:rPr>
        <w:t>自适应能力</w:t>
      </w:r>
      <w:r>
        <w:t>，系统可随金融犯罪手法演变自动调优，保持检测有效性</w:t>
      </w:r>
      <w:r>
        <w:rPr>
          <w:sz w:val="15"/>
          <w:vertAlign w:val="superscript"/>
        </w:rPr>
        <w:t>P438</w:t>
      </w:r>
      <w:r>
        <w:t>，即选项D的来源；三是</w:t>
      </w:r>
      <w:r>
        <w:rPr>
          <w:b/>
        </w:rPr>
        <w:t>深度分析能力</w:t>
      </w:r>
      <w:r>
        <w:t>，能分析海量数据，发现传统规则遗漏的隐藏模式和新兴威胁</w:t>
      </w:r>
      <w:r>
        <w:rPr>
          <w:sz w:val="15"/>
          <w:vertAlign w:val="superscript"/>
        </w:rPr>
        <w:t>P385、P387</w:t>
      </w:r>
      <w:r>
        <w:t>，即选项E的来源。题干中的“从基于规则转向AI/机器学习”的语境，直接锁定这三个核心优势。</w:t>
      </w:r>
    </w:p>
    <w:p>
      <w:pPr>
        <w:spacing w:before="120" w:after="40"/>
      </w:pPr>
      <w:r>
        <w:rPr>
          <w:b/>
          <w:sz w:val="21"/>
          <w:shd w:fill="D6E4F0" w:val="clear"/>
        </w:rPr>
        <w:t>B项错误：</w:t>
      </w:r>
    </w:p>
    <w:p>
      <w:pPr>
        <w:spacing w:line="360" w:lineRule="auto" w:after="40"/>
        <w:ind w:firstLine="420"/>
      </w:pPr>
      <w:r>
        <w:t>AI和机器学习能自动化部分流程，但不能实现“全面”自动化。教材指出AI目前仍处于早期阶段，是“补充和支持”而非完全替代人</w:t>
      </w:r>
      <w:r>
        <w:rPr>
          <w:sz w:val="15"/>
          <w:vertAlign w:val="superscript"/>
        </w:rPr>
        <w:t>P387</w:t>
      </w:r>
      <w:r>
        <w:t>。题干条件与“部分自动化”（如重复任务）更吻合，而非“全面自动化”的极端表述。</w:t>
      </w:r>
    </w:p>
    <w:p>
      <w:pPr>
        <w:spacing w:before="120" w:after="40"/>
      </w:pPr>
      <w:r>
        <w:rPr>
          <w:b/>
          <w:sz w:val="21"/>
          <w:shd w:fill="D6E4F0" w:val="clear"/>
        </w:rPr>
        <w:t>C项错误：</w:t>
      </w:r>
    </w:p>
    <w:p>
      <w:pPr>
        <w:spacing w:line="360" w:lineRule="auto" w:after="40"/>
        <w:ind w:firstLine="420"/>
      </w:pPr>
      <w:r>
        <w:t>“消除人工监督”与教材直接冲突。教材明确指出自动化调查时需在机器驱动的效率与人工监督之间取得平衡，且AI“不太可能完全消除人工作用”</w:t>
      </w:r>
      <w:r>
        <w:rPr>
          <w:sz w:val="15"/>
          <w:vertAlign w:val="superscript"/>
        </w:rPr>
        <w:t>P452</w:t>
      </w:r>
      <w:r>
        <w:t>。题干更支持“减少”而非“消除”人工需求。</w:t>
      </w:r>
    </w:p>
    <w:p>
      <w:pPr>
        <w:spacing w:before="120" w:after="40"/>
      </w:pPr>
      <w:r>
        <w:rPr>
          <w:b/>
          <w:sz w:val="21"/>
          <w:shd w:fill="D6E4F0" w:val="clear"/>
        </w:rPr>
        <w:t>易错提醒：</w:t>
      </w:r>
    </w:p>
    <w:p>
      <w:pPr>
        <w:spacing w:line="360" w:lineRule="auto" w:after="40"/>
        <w:ind w:firstLine="420"/>
      </w:pPr>
      <w:r>
        <w:t>“</w:t>
      </w:r>
      <w:r>
        <w:rPr>
          <w:b/>
        </w:rPr>
        <w:t>减少误报</w:t>
      </w:r>
      <w:r>
        <w:t>”不等于“消除误报”；减少人工审核（如重复性任务）不等于“消除人工监督”或“全面自动化”。教材强调AI是辅助角色——</w:t>
      </w:r>
      <w:r>
        <w:rPr>
          <w:b/>
        </w:rPr>
        <w:t>补充和支持人工，而非替代</w:t>
      </w:r>
      <w:r>
        <w:rPr>
          <w:sz w:val="15"/>
          <w:vertAlign w:val="superscript"/>
        </w:rPr>
        <w:t>P387、P452</w:t>
      </w:r>
      <w:r>
        <w:t>。选项B和C的问题在于将“优化”夸大为“完全替代”。</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