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CH12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According to the Financial Action Task Force (FATF) methodology, which situation would require a financial institution (FI) to consider filing a suspicious activity report?</w:t>
      </w:r>
    </w:p>
    <w:p>
      <w:pPr>
        <w:spacing w:line="360" w:lineRule="auto" w:after="20"/>
        <w:ind w:firstLine="283"/>
      </w:pPr>
      <w:r>
        <w:t>A. A beneficiary of a transaction is a politically exposed person.</w:t>
      </w:r>
    </w:p>
    <w:p>
      <w:pPr>
        <w:spacing w:line="360" w:lineRule="auto" w:after="20"/>
        <w:ind w:firstLine="283"/>
      </w:pPr>
      <w:r>
        <w:t>B. An FI is unable to verify the relevant customer due diligence documents.</w:t>
      </w:r>
    </w:p>
    <w:p>
      <w:pPr>
        <w:spacing w:line="360" w:lineRule="auto" w:after="20"/>
        <w:ind w:firstLine="283"/>
      </w:pPr>
      <w:r>
        <w:t>C. An FI identifies that the payer is a dealer in precious metals or stones.</w:t>
      </w:r>
    </w:p>
    <w:p>
      <w:pPr>
        <w:spacing w:line="360" w:lineRule="auto" w:after="20"/>
        <w:ind w:firstLine="283"/>
      </w:pPr>
      <w:r>
        <w:t>D. A transaction involves funds exchanged from crypto to fiat currencies.</w:t>
      </w:r>
    </w:p>
    <w:p>
      <w:pPr>
        <w:spacing w:line="360" w:lineRule="auto" w:after="40"/>
      </w:pPr>
      <w:r>
        <w:t>答案：B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区分风险升级、CDD缺陷与可疑活动报告触发条件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rPr>
          <w:b/>
        </w:rPr>
        <w:t>FATF建议20</w:t>
      </w:r>
      <w:r>
        <w:t>的报告条件是：当金融机构对资金属于犯罪所得或与恐怖融资有关存在</w:t>
      </w:r>
      <w:r>
        <w:rPr>
          <w:b/>
        </w:rPr>
        <w:t>合理怀疑</w:t>
      </w:r>
      <w:r>
        <w:t>时，应</w:t>
      </w:r>
      <w:r>
        <w:rPr>
          <w:b/>
        </w:rPr>
        <w:t>调查并报告</w:t>
      </w:r>
      <w:r>
        <w:rPr>
          <w:sz w:val="15"/>
          <w:vertAlign w:val="superscript"/>
        </w:rPr>
        <w:t>P349</w:t>
      </w:r>
      <w:r>
        <w:t>。因此，</w:t>
      </w:r>
      <w:r>
        <w:rPr>
          <w:b/>
        </w:rPr>
        <w:t>“考虑提交SAR”并不等于某一身份或某一交易类型自动触发报告</w:t>
      </w:r>
      <w:r>
        <w:t>，而是要看风险信息是否形成需要升级调查的合理怀疑。</w:t>
      </w:r>
    </w:p>
    <w:p>
      <w:pPr>
        <w:spacing w:line="360" w:lineRule="auto" w:after="40"/>
        <w:ind w:firstLine="420"/>
      </w:pPr>
      <w:r>
        <w:t>题干中的B“无法核实相关客户尽职调查文件”首先表明CDD核验无法完成，属于客户尽职调查控制的重大缺口</w:t>
      </w:r>
      <w:r>
        <w:rPr>
          <w:sz w:val="15"/>
          <w:vertAlign w:val="superscript"/>
        </w:rPr>
        <w:t>P266</w:t>
      </w:r>
      <w:r>
        <w:t>。它不等于已经证明客户犯罪，但会使客户身份、资金来源或交易背景无法得到合理核实，因而最直接地要求金融机构升级审查，并在审查后判断是否存在合理怀疑、是否需要提交SAR。教材也说明，机构审查预警后可能因证据不足而决定不提交SAR</w:t>
      </w:r>
      <w:r>
        <w:rPr>
          <w:sz w:val="15"/>
          <w:vertAlign w:val="superscript"/>
        </w:rPr>
        <w:t>P357</w:t>
      </w:r>
      <w:r>
        <w:t>，这进一步表明B的正确含义是“需要考虑并调查”，而非“仅凭文件缺失必然提交”。</w:t>
      </w:r>
    </w:p>
    <w:p>
      <w:pPr>
        <w:spacing w:line="360" w:lineRule="auto" w:after="40"/>
        <w:ind w:firstLine="420"/>
      </w:pPr>
      <w:r>
        <w:t>所以，在给定选项中B最符合FATF的风险为本方法和题干的“consider filing”措辞。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PEP被视为较高风险客户，并可能接受EDD和加强监控</w:t>
      </w:r>
      <w:r>
        <w:rPr>
          <w:sz w:val="15"/>
          <w:vertAlign w:val="superscript"/>
        </w:rPr>
        <w:t>P270</w:t>
      </w:r>
      <w:r>
        <w:t>，但PEP身份本身不证明存在犯罪资金或恐怖融资的合理怀疑。把“较高风险”直接写成“必须考虑提交SAR”，属于把风险分类偷换成报告结论。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贵金属和宝石经销商确实可能因商品便携、易变现和高价值交易而面临较高洗钱风险</w:t>
      </w:r>
      <w:r>
        <w:rPr>
          <w:sz w:val="15"/>
          <w:vertAlign w:val="superscript"/>
        </w:rPr>
        <w:t>P119</w:t>
      </w:r>
      <w:r>
        <w:t>，但题干没有给出异常金额、交易目的或资金来源等附加事实。经销商身份本身不足以替代FATF建议20所要求的合理怀疑。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教材把加密货币兑换为法定货币列入正常业务场景</w:t>
      </w:r>
      <w:r>
        <w:rPr>
          <w:sz w:val="15"/>
          <w:vertAlign w:val="superscript"/>
        </w:rPr>
        <w:t>P109</w:t>
      </w:r>
      <w:r>
        <w:t>；其列举的红旗是大额购买后在24小时内通过多笔小额交易提取为法币，或反复转往监管薄弱地区的法币交易所</w:t>
      </w:r>
      <w:r>
        <w:rPr>
          <w:sz w:val="15"/>
          <w:vertAlign w:val="superscript"/>
        </w:rPr>
        <w:t>P111</w:t>
      </w:r>
      <w:r>
        <w:t>。题干只有一笔加密货币与法币兑换，没有这些附加特征，匹配度低于B。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PEP、高风险行业或加密货币业务都可能需要加强监控</w:t>
      </w:r>
      <w:r>
        <w:rPr>
          <w:sz w:val="15"/>
          <w:vertAlign w:val="superscript"/>
        </w:rPr>
        <w:t>P270、P119、P111</w:t>
      </w:r>
      <w:r>
        <w:t>，但不能仅凭这些标签直接得出SAR结论。判断重点是：CDD是否能够完成、是否存在合理怀疑，以及题干是否给出了足以形成可疑活动判断的具体红旗</w:t>
      </w:r>
      <w:r>
        <w:rPr>
          <w:sz w:val="15"/>
          <w:vertAlign w:val="superscript"/>
        </w:rPr>
        <w:t>P349</w:t>
      </w:r>
      <w:r>
        <w:t>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