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CH12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The compliance officer at a casino in Taiwan discovers that the casino received multiple cash deposits from a customer just below the Large-Amount Transaction Report (LTR) limit on consecutive days. The customer used three different betting accounts. What is the appropriate next step?</w:t>
      </w:r>
    </w:p>
    <w:p>
      <w:pPr>
        <w:spacing w:line="360" w:lineRule="auto" w:after="20"/>
        <w:ind w:firstLine="283"/>
      </w:pPr>
      <w:r>
        <w:t>A. Make a note in the customer's account that the customer's gambling activities are frequently conducted below the reporting limit</w:t>
      </w:r>
    </w:p>
    <w:p>
      <w:pPr>
        <w:spacing w:line="360" w:lineRule="auto" w:after="20"/>
        <w:ind w:firstLine="283"/>
      </w:pPr>
      <w:r>
        <w:t>B. Follow internal reporting procedures to escalate the activity as suspicious and report to appropriate authorities</w:t>
      </w:r>
    </w:p>
    <w:p>
      <w:pPr>
        <w:spacing w:line="360" w:lineRule="auto" w:after="20"/>
        <w:ind w:firstLine="283"/>
      </w:pPr>
      <w:r>
        <w:t>C. Inform the customer that their activity is suspicious and request an explanation</w:t>
      </w:r>
    </w:p>
    <w:p>
      <w:pPr>
        <w:spacing w:line="360" w:lineRule="auto" w:after="20"/>
        <w:ind w:firstLine="283"/>
      </w:pPr>
      <w:r>
        <w:t>D. Contact law enforcement to investigate the customer's financial activity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博彩业中识别结构化交易后的内部可疑报告流程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当合规官发现连续几天分三次存入略低于报告限额的现金，且使用了三个不同投注账户时，这种模式吻合教材对结构化交易的描述，即</w:t>
      </w:r>
      <w:r>
        <w:rPr>
          <w:b/>
        </w:rPr>
        <w:t>利用多笔交易规避报告门槛</w:t>
      </w:r>
      <w:r>
        <w:rPr>
          <w:sz w:val="15"/>
          <w:vertAlign w:val="superscript"/>
        </w:rPr>
        <w:t>P121</w:t>
      </w:r>
      <w:r>
        <w:t>。教材规定，机构应制定政策和程序，使员工能够向指定合规官报告可疑情况</w:t>
      </w:r>
      <w:r>
        <w:rPr>
          <w:sz w:val="15"/>
          <w:vertAlign w:val="superscript"/>
        </w:rPr>
        <w:t>P351</w:t>
      </w:r>
      <w:r>
        <w:t>。合规官在评估信息后，若事实表明需对外报告，通常应向管辖区的相关主管部门提交</w:t>
      </w:r>
      <w:r>
        <w:rPr>
          <w:b/>
        </w:rPr>
        <w:t>可疑活动报告</w:t>
      </w:r>
      <w:r>
        <w:rPr>
          <w:sz w:val="15"/>
          <w:vertAlign w:val="superscript"/>
        </w:rPr>
        <w:t>P351</w:t>
      </w:r>
      <w:r>
        <w:t>。题干中合规官已发现可疑模式，按照内部程序上报并对外报告，符合教材规定的流程。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"It is important that organizations implement policies and procedures to enable staff to report their suspicions to an assigned compliance officer."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选项A仅建议“在客户账户中记录其赌博活动经常在报告限额以下进行”，这种记录本身并未触发任何报告行动。教材框架下，“经常低于限额”的交易模式恰恰是结构化交易的警示信号</w:t>
      </w:r>
      <w:r>
        <w:rPr>
          <w:sz w:val="15"/>
          <w:vertAlign w:val="superscript"/>
        </w:rPr>
        <w:t>P121</w:t>
      </w:r>
      <w:r>
        <w:t>；题干设定的条件是发现可疑活动，而不是记录常规模式。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选项C建议直接告知客户其活动可疑并要求解释。教材在讨论因可疑活动终止客户关系时提到，应使用非常通用的信函通知客户，且必须避免通风报信；在某些情况下，通风报信是重罪</w:t>
      </w:r>
      <w:r>
        <w:rPr>
          <w:sz w:val="15"/>
          <w:vertAlign w:val="superscript"/>
        </w:rPr>
        <w:t>P336</w:t>
      </w:r>
      <w:r>
        <w:t>。直接告知客户其活动存在可疑之处，不如先按内部程序报告并由合规官决定后续行动稳妥。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D项错误：选项D建议直接联系执法部门展开调查。教材流程是：</w:t>
      </w:r>
    </w:p>
    <w:p>
      <w:pPr>
        <w:spacing w:line="360" w:lineRule="auto" w:after="40"/>
        <w:ind w:firstLine="420"/>
      </w:pPr>
      <w:r>
        <w:t>先通过内部程序向合规官报告</w:t>
      </w:r>
      <w:r>
        <w:rPr>
          <w:sz w:val="15"/>
          <w:vertAlign w:val="superscript"/>
        </w:rPr>
        <w:t>P351</w:t>
      </w:r>
      <w:r>
        <w:t>，合规官评估后，若需对外报告则向主管部门提交可疑活动报告</w:t>
      </w:r>
      <w:r>
        <w:rPr>
          <w:sz w:val="15"/>
          <w:vertAlign w:val="superscript"/>
        </w:rPr>
        <w:t>P351</w:t>
      </w:r>
      <w:r>
        <w:t>。执法部门的介入通常发生在SAR提交之后，由金融情报机构或相关主管部门协调</w:t>
      </w:r>
      <w:r>
        <w:rPr>
          <w:sz w:val="15"/>
          <w:vertAlign w:val="superscript"/>
        </w:rPr>
        <w:t>P184</w:t>
      </w:r>
      <w:r>
        <w:t>。在发现可疑活动的当下阶段，直接联系执法部门不如B项所述的内部报告程序更吻合教材流程。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容易混淆的两点：一是将“持续低于报告限额的交易”仅视为常规记录，而忽略这恰恰是结构化交易的可疑信号；二是认为发现可疑活动后应直接联系执法部门。教材所述流程是：员工发现可疑情况，按内部程序报告合规官，由合规官评估，并在必要时向主管部门提交SAR。执法部门参与通常属于后续环节，不是合规官当下的直接步骤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In which of the following cases can a financial institution disclose a suspicious activity report (SAR)?</w:t>
      </w:r>
    </w:p>
    <w:p>
      <w:pPr>
        <w:spacing w:line="360" w:lineRule="auto" w:after="20"/>
        <w:ind w:firstLine="283"/>
      </w:pPr>
      <w:r>
        <w:t>A. A court order requests the bank to disclose the SAR, subject to obtaining agreement from the legal team</w:t>
      </w:r>
    </w:p>
    <w:p>
      <w:pPr>
        <w:spacing w:line="360" w:lineRule="auto" w:after="20"/>
        <w:ind w:firstLine="283"/>
      </w:pPr>
      <w:r>
        <w:t>B. A customer asks about potential reporting to the local Financial Intelligence Unit (FIU)</w:t>
      </w:r>
    </w:p>
    <w:p>
      <w:pPr>
        <w:spacing w:line="360" w:lineRule="auto" w:after="20"/>
        <w:ind w:firstLine="283"/>
      </w:pPr>
      <w:r>
        <w:t>C. An external consultant inquires about the details of the SAR</w:t>
      </w:r>
    </w:p>
    <w:p>
      <w:pPr>
        <w:spacing w:line="360" w:lineRule="auto" w:after="20"/>
        <w:ind w:firstLine="283"/>
      </w:pPr>
      <w:r>
        <w:t>D. A third-country police force directly inquires about the customer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SAR的严格保密义务与正式法律请求的处理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法规禁止金融机构向除特定执法机构外的任何人披露SAR，也不得披露</w:t>
      </w:r>
      <w:r>
        <w:rPr>
          <w:b/>
        </w:rPr>
        <w:t>足以表明已提交SAR的信息</w:t>
      </w:r>
      <w:r>
        <w:rPr>
          <w:sz w:val="15"/>
          <w:vertAlign w:val="superscript"/>
        </w:rPr>
        <w:t>P353</w:t>
      </w:r>
      <w:r>
        <w:t>。因此，B项的客户询问和C项的外部顾问询问都不构成披露依据；D项仅说第三国警方查询客户信息，也没有说明经由适用的正式合作渠道请求披露SAR。</w:t>
      </w:r>
    </w:p>
    <w:p>
      <w:pPr>
        <w:spacing w:line="360" w:lineRule="auto" w:after="40"/>
        <w:ind w:firstLine="420"/>
      </w:pPr>
      <w:r>
        <w:t>教材另将法院命令和传票列为调取账户或交易记录的正式法律请求</w:t>
      </w:r>
      <w:r>
        <w:rPr>
          <w:sz w:val="15"/>
          <w:vertAlign w:val="superscript"/>
        </w:rPr>
        <w:t>P361</w:t>
      </w:r>
      <w:r>
        <w:t>，但这不等于法院命令必然突破</w:t>
      </w:r>
      <w:r>
        <w:rPr>
          <w:b/>
        </w:rPr>
        <w:t>SAR保密义务</w:t>
      </w:r>
      <w:r>
        <w:t>。在给定选项中，A项至少要求在作出任何披露前由法律团队核定适用法律和命令范围，因而相对更符合审慎处理要求。但能否披露仍取决于当地法律，不能仅凭“法院命令”得出肯定结论。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"Regulations prohibit financial institutions from disclosing a SAR, or any information that would indicate a SAR was filed, to anyone except certain law enforcement agencies."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客户询问是否向FIU报告时，任何足以表明SAR已提交的回应都可能构成通风报信</w:t>
      </w:r>
      <w:r>
        <w:rPr>
          <w:sz w:val="15"/>
          <w:vertAlign w:val="superscript"/>
        </w:rPr>
        <w:t>P353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外部顾问不因其顾问身份而当然成为可接收SAR的特定执法机构</w:t>
      </w:r>
      <w:r>
        <w:rPr>
          <w:sz w:val="15"/>
          <w:vertAlign w:val="superscript"/>
        </w:rPr>
        <w:t>P353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D项只描述第三国警方直接查询客户信息，没有说明该请求是否经由正式的跨境执法或司法协助渠道，也没有直接说明请求披露SAR。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法院命令或传票可以正式要求金融机构提供账户或交易记录，但这与披露SAR本身不是同一问题。面对此类请求，应由法律团队核定适用法律、请求范围和SAR保密限制，不能把法院命令自动视为SAR披露例外。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3. Which scenario best justifies why a customer's account might be closed by a financial institution?</w:t>
      </w:r>
    </w:p>
    <w:p>
      <w:pPr>
        <w:spacing w:line="360" w:lineRule="auto" w:after="20"/>
        <w:ind w:firstLine="283"/>
      </w:pPr>
      <w:r>
        <w:t>A. The customer is the object of a civil subpoena</w:t>
      </w:r>
    </w:p>
    <w:p>
      <w:pPr>
        <w:spacing w:line="360" w:lineRule="auto" w:after="20"/>
        <w:ind w:firstLine="283"/>
      </w:pPr>
      <w:r>
        <w:t>B. The customer uses a shipping company dealing with specially designated nationals</w:t>
      </w:r>
    </w:p>
    <w:p>
      <w:pPr>
        <w:spacing w:line="360" w:lineRule="auto" w:after="20"/>
        <w:ind w:firstLine="283"/>
      </w:pPr>
      <w:r>
        <w:t>C. The account shows periodic fixed-amount remittances for tuition fees</w:t>
      </w:r>
    </w:p>
    <w:p>
      <w:pPr>
        <w:spacing w:line="360" w:lineRule="auto" w:after="20"/>
        <w:ind w:firstLine="283"/>
      </w:pPr>
      <w:r>
        <w:t>D. The account has transactions that triggered multiple suspicious activity reports</w:t>
      </w:r>
    </w:p>
    <w:p>
      <w:pPr>
        <w:spacing w:line="360" w:lineRule="auto" w:after="40"/>
      </w:pPr>
      <w:r>
        <w:t>答案：D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提交SAR后金融机构对受影响账户的处置义务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教材指出，提交可疑活动报告（SAR）后，金融机构应</w:t>
      </w:r>
      <w:r>
        <w:rPr>
          <w:b/>
        </w:rPr>
        <w:t>决定是否保留或关闭受影响账户</w:t>
      </w:r>
      <w:r>
        <w:rPr>
          <w:sz w:val="15"/>
          <w:vertAlign w:val="superscript"/>
        </w:rPr>
        <w:t>P356</w:t>
      </w:r>
      <w:r>
        <w:t>。这并不意味着提交SAR就必须关闭账户，而是要结合可疑活动的持续性、违法风险和机构风险偏好作出决定</w:t>
      </w:r>
      <w:r>
        <w:rPr>
          <w:sz w:val="15"/>
          <w:vertAlign w:val="superscript"/>
        </w:rPr>
        <w:t>P303</w:t>
      </w:r>
      <w:r>
        <w:t>。在给定选项中，D项的多份SAR表明账户可能持续出现需要上报的可疑活动，因而比其他选项更能支持重新评估并终止客户关系。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"After filing a suspicious activity report (SAR), financial institutions must decide whether to maintain or close the impacted account."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民事传票本身并不构成关闭账户的直接理由。教材指出，传票等法律令状会触发客户审查，但不自动导致提交SAR，因为可能缺乏足够的支持信息</w:t>
      </w:r>
      <w:r>
        <w:rPr>
          <w:sz w:val="15"/>
          <w:vertAlign w:val="superscript"/>
        </w:rPr>
        <w:t>P357</w:t>
      </w:r>
      <w:r>
        <w:t>。同时，执法机构还可能要求金融机构保持账户开放并监控以协助调查</w:t>
      </w:r>
      <w:r>
        <w:rPr>
          <w:sz w:val="15"/>
          <w:vertAlign w:val="superscript"/>
        </w:rPr>
        <w:t>P362</w:t>
      </w:r>
      <w:r>
        <w:t>。相比D项已实际触发多份SAR的情形，A项中的传票与账户关闭决策之间的因果链条更长、匹配度更低。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使用与特别指定国民（SDN）有业务往来的航运公司可能构成制裁风险或红旗信号，但题干没有说明客户本身与SDN直接交易，也没有说明该关联构成实际制裁违规。相比之下，D项更直接表明账户存在持续的可疑活动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定期固定金额的学费汇款，单独看属于正常的账户使用模式。教材提及，直接为外国国民个人开支（如教育费）提供资金的账户，可能混淆官方与个人财务，但这属于使领馆账户场景下的风险指标</w:t>
      </w:r>
      <w:r>
        <w:rPr>
          <w:sz w:val="15"/>
          <w:vertAlign w:val="superscript"/>
        </w:rPr>
        <w:t>P138</w:t>
      </w:r>
      <w:r>
        <w:t>，并非普通零售账户关闭的典型理由。题干未提及任何使领馆或公共职务背景，该选项与关闭账户的关联非常薄弱，远不如多份SAR所代表的可疑活动直接。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传票触发审查不等于触发SAR，更不等于需要关闭账户。教材明确指出传票不自动导致SAR</w:t>
      </w:r>
      <w:r>
        <w:rPr>
          <w:sz w:val="15"/>
          <w:vertAlign w:val="superscript"/>
        </w:rPr>
        <w:t>P357</w:t>
      </w:r>
      <w:r>
        <w:t>，且执法机构可能要求保留账户以协助调查</w:t>
      </w:r>
      <w:r>
        <w:rPr>
          <w:sz w:val="15"/>
          <w:vertAlign w:val="superscript"/>
        </w:rPr>
        <w:t>P362</w:t>
      </w:r>
      <w:r>
        <w:t>。不要将“收到传票→触发审查”与“提交SAR→关闭账户”这两条路径混为一谈。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4. An employee at a financial institution (FI) suspects that one of their co-workers is involved in a financial investment scam syndicate. Which step should be taken next by the employee who has the suspicion?</w:t>
      </w:r>
    </w:p>
    <w:p>
      <w:pPr>
        <w:spacing w:line="360" w:lineRule="auto" w:after="20"/>
        <w:ind w:firstLine="283"/>
      </w:pPr>
      <w:r>
        <w:t>A. Question their co-worker to determine if their suspicions are correct before reporting to the FI's Human Resources department</w:t>
      </w:r>
    </w:p>
    <w:p>
      <w:pPr>
        <w:spacing w:line="360" w:lineRule="auto" w:after="20"/>
        <w:ind w:firstLine="283"/>
      </w:pPr>
      <w:r>
        <w:t>B. Use the FI's whistleblowing channel to report the suspected employee</w:t>
      </w:r>
    </w:p>
    <w:p>
      <w:pPr>
        <w:spacing w:line="360" w:lineRule="auto" w:after="20"/>
        <w:ind w:firstLine="283"/>
      </w:pPr>
      <w:r>
        <w:t>C. Warn colleagues and customers of the FI that the employee's suspicious financial investment proposals could be a scam</w:t>
      </w:r>
    </w:p>
    <w:p>
      <w:pPr>
        <w:spacing w:line="360" w:lineRule="auto" w:after="20"/>
        <w:ind w:firstLine="283"/>
      </w:pPr>
      <w:r>
        <w:t>D. Conduct an open-source intelligence investigation using artificial intelligence tools to gain more information on the activities of the suspected employee</w:t>
      </w:r>
    </w:p>
    <w:p>
      <w:pPr>
        <w:spacing w:line="360" w:lineRule="auto" w:after="20"/>
        <w:ind w:firstLine="283"/>
      </w:pPr>
      <w:r>
        <w:t>E. Report the suspected employee to the line manager of the FI to take the required action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内部可疑行为应通过正式举报渠道报告合规官，而非自行调查或扩散信息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教材规定，机构应制定政策和程序，使员工能够</w:t>
      </w:r>
      <w:r>
        <w:rPr>
          <w:b/>
        </w:rPr>
        <w:t>将可疑情况报告给指定的合规官</w:t>
      </w:r>
      <w:r>
        <w:rPr>
          <w:sz w:val="15"/>
          <w:vertAlign w:val="superscript"/>
        </w:rPr>
        <w:t>P351</w:t>
      </w:r>
      <w:r>
        <w:t>。合规官负责评估信息并决定应采取的行动</w:t>
      </w:r>
      <w:r>
        <w:rPr>
          <w:sz w:val="15"/>
          <w:vertAlign w:val="superscript"/>
        </w:rPr>
        <w:t>P351</w:t>
      </w:r>
      <w:r>
        <w:t>。题干中“怀疑同事参与金融投资诈骗”属于员工对内部不法行为的可疑情况。此时，员工应遵循机构建立的举报机制，通过正式举报渠道将信息递交至合规职能部门，由具备专业能力和法定职责的人员进行研判。选项B“利用FI的举报渠道来举报该可疑员工”直接对应了这一标准流程，确保了信息的保密性、报告的规范性，并避免了潜在的风险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“向同事询问以确定自己的怀疑”的匹配度低于正式举报。教材强调，在存在金融犯罪嫌疑时，必须注意不得通风报信（tipping off）</w:t>
      </w:r>
      <w:r>
        <w:rPr>
          <w:sz w:val="15"/>
          <w:vertAlign w:val="superscript"/>
        </w:rPr>
        <w:t>P364</w:t>
      </w:r>
      <w:r>
        <w:t>。直接询问被怀疑的同事极有可能构成“通风报信”，可能导致证据灭失或串供，这与反洗钱合规的核心操作原则相悖。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“提醒同事和客户”的行为与选项A的问题类似，甚至更严重。它大范围扩散了未经证实的怀疑信息，不仅构成了对嫌疑同事的“通风报信”</w:t>
      </w:r>
      <w:r>
        <w:rPr>
          <w:sz w:val="15"/>
          <w:vertAlign w:val="superscript"/>
        </w:rPr>
        <w:t>P364</w:t>
      </w:r>
      <w:r>
        <w:t>，还可能引发对机构的声誉损害和法律风险。题干情景要求的是启动内部调查程序，而非充当信息发布者。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开源情报可用于供应商或董事背景筛查</w:t>
      </w:r>
      <w:r>
        <w:rPr>
          <w:sz w:val="15"/>
          <w:vertAlign w:val="superscript"/>
        </w:rPr>
        <w:t>P324</w:t>
      </w:r>
      <w:r>
        <w:t>，但普通员工发现同事可能参与诈骗后，不应自行借助AI开展个人调查。这样做可能超越权限、破坏证据处理流程并带来隐私风险；更合适的做法是通过正式举报渠道交由授权人员调查。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“报告给直属经理”不如“利用FI的举报渠道”直接。教材明确指出应报告给“指定的合规官”</w:t>
      </w:r>
      <w:r>
        <w:rPr>
          <w:sz w:val="15"/>
          <w:vertAlign w:val="superscript"/>
        </w:rPr>
        <w:t>P351</w:t>
      </w:r>
      <w:r>
        <w:t>，而非一个泛指的“直属经理”。合规官在这一流程中拥有明确的法律和程序角色。报告给直属经理可能绕过了反洗钱合规职能的专门通道，无法保证信息会按规定得到恰当处理。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容易混淆“向经理报告”和“向指定合规官报告”的区别。在反洗钱框架下，机构必须建立专门的举报渠道将可疑情况直接报告给合规职能部门，而非依赖于常规的上下级管理汇报链条</w:t>
      </w:r>
      <w:r>
        <w:rPr>
          <w:sz w:val="15"/>
          <w:vertAlign w:val="superscript"/>
        </w:rPr>
        <w:t>P351</w:t>
      </w:r>
      <w:r>
        <w:t>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5. A compliance officer at a large bank has been tasked with investigating a series of unusual transactions involving a long-time customer. The customer has made several large cash deposits into multiple accounts within a short period, raising red flags. After gathering and analyzing transaction data, reviewing customer records, and cross-referencing external sources, the compliance officer determines that there is a reasonable suspicion of money laundering. As part of documenting this investigation, the compliance officer must decide how and when to escalate the matter internally and whether to file a suspicious activity report (SAR). What is the next critical step in this process?</w:t>
      </w:r>
    </w:p>
    <w:p>
      <w:pPr>
        <w:spacing w:line="360" w:lineRule="auto" w:after="20"/>
        <w:ind w:firstLine="283"/>
      </w:pPr>
      <w:r>
        <w:t>A. Document the customer's transaction history and keep the investigation confidential until further suspicious activity is detected</w:t>
      </w:r>
    </w:p>
    <w:p>
      <w:pPr>
        <w:spacing w:line="360" w:lineRule="auto" w:after="20"/>
        <w:ind w:firstLine="283"/>
      </w:pPr>
      <w:r>
        <w:t>B. Immediately escalate the case to senior management, recommending the closure of the customer's accounts due to potential reputational risk</w:t>
      </w:r>
    </w:p>
    <w:p>
      <w:pPr>
        <w:spacing w:line="360" w:lineRule="auto" w:after="20"/>
        <w:ind w:firstLine="283"/>
      </w:pPr>
      <w:r>
        <w:t>C. Report the investigation to external auditors and await further guidance before taking any action</w:t>
      </w:r>
    </w:p>
    <w:p>
      <w:pPr>
        <w:spacing w:line="360" w:lineRule="auto" w:after="20"/>
        <w:ind w:firstLine="283"/>
      </w:pPr>
      <w:r>
        <w:t>D. Draft a SAR that includes a detailed chronology of the transactions, customer background and the rationale for suspicion, and submit it to the relevant financial intelligence unit (FIU) within the regulatory timelines</w:t>
      </w:r>
    </w:p>
    <w:p>
      <w:pPr>
        <w:spacing w:line="360" w:lineRule="auto" w:after="40"/>
      </w:pPr>
      <w:r>
        <w:t>答案：D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合理怀疑成立后启动SAR程序并在监管期限内完成提交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题干中合规官已经完成调查并形成合理的洗钱怀疑，SAR报告流程由此启动。教材要求在怀疑或知悉相关人员从事洗钱等犯罪活动时</w:t>
      </w:r>
      <w:r>
        <w:rPr>
          <w:b/>
        </w:rPr>
        <w:t>尽快建议SAR</w:t>
      </w:r>
      <w:r>
        <w:rPr>
          <w:sz w:val="15"/>
          <w:vertAlign w:val="superscript"/>
        </w:rPr>
        <w:t>P352</w:t>
      </w:r>
      <w:r>
        <w:t>；一旦活动被认定为可疑，报告时限开始，SAR必须在监管机构规定的期限内提交</w:t>
      </w:r>
      <w:r>
        <w:rPr>
          <w:sz w:val="15"/>
          <w:vertAlign w:val="superscript"/>
        </w:rPr>
        <w:t>P352</w:t>
      </w:r>
      <w:r>
        <w:t>。这意味着应当及时启动报告程序，但并非要求在形成怀疑的同一时刻完成提交。</w:t>
      </w:r>
    </w:p>
    <w:p>
      <w:pPr>
        <w:spacing w:line="360" w:lineRule="auto" w:after="40"/>
        <w:ind w:firstLine="420"/>
      </w:pPr>
      <w:r>
        <w:t>教材还要求SAR中的信息适当、完整且基于事实</w:t>
      </w:r>
      <w:r>
        <w:rPr>
          <w:sz w:val="15"/>
          <w:vertAlign w:val="superscript"/>
        </w:rPr>
        <w:t>P352</w:t>
      </w:r>
      <w:r>
        <w:t>，并包含客户信息、机构提供的服务、交易活动、怀疑理由及支持证据</w:t>
      </w:r>
      <w:r>
        <w:rPr>
          <w:sz w:val="15"/>
          <w:vertAlign w:val="superscript"/>
        </w:rPr>
        <w:t>P353</w:t>
      </w:r>
      <w:r>
        <w:t>。选项D涵盖了拟写SAR、记录交易时间线和客户背景、说明怀疑理由以及在规定期限内向相关FIU提交，完整对应报告启动、内容准备和按期提交三个环节，因此正确。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"You should recommend a SAR as soon as you suspect, or know, that a person is engaged in money laundering, terrorist financing, or other criminal activity."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题干已经说明合理怀疑成立，教材要求此时尽快建议SAR，并从活动被认定为可疑时开始计算报告期限</w:t>
      </w:r>
      <w:r>
        <w:rPr>
          <w:sz w:val="15"/>
          <w:vertAlign w:val="superscript"/>
        </w:rPr>
        <w:t>P352</w:t>
      </w:r>
      <w:r>
        <w:t>。A却要求等待发现进一步可疑活动后再采取行动，会不必要地推迟已经触发的报告流程。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B从形成怀疑直接跳到建议关闭账户，遗漏了SAR报告程序。教材说明，提交SAR后，金融机构才决定保留还是关闭受影响账户（P356-357），因此账户处置不能替代本题所问的下一关键步骤。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若案件事实表明需要对外报告，通常应向相关司法管辖区的主管机构提交SAR</w:t>
      </w:r>
      <w:r>
        <w:rPr>
          <w:sz w:val="15"/>
          <w:vertAlign w:val="superscript"/>
        </w:rPr>
        <w:t>P351</w:t>
      </w:r>
      <w:r>
        <w:t>。外部审计员不是选项D所述SAR的接收主体，等待其进一步指示也不能替代在监管期限内履行报告义务。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应区分“尽快启动SAR程序”与“立即完成SAR提交”：形成怀疑后应及时建议并准备SAR，随后在监管机构规定期限内提交。账户是否保留或关闭是SAR提交后的后续决定，不能替代报告程序。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6. According to the Financial Action Task Force (FATF) recommendation regarding "tipping off," which of the following statements accurately describes the obligations of reporting entities?</w:t>
      </w:r>
    </w:p>
    <w:p>
      <w:pPr>
        <w:spacing w:line="360" w:lineRule="auto" w:after="20"/>
        <w:ind w:firstLine="283"/>
      </w:pPr>
      <w:r>
        <w:t>A. Reporting entities are prohibited from disclosing to clients or third parties that a suspicious activity report (SAR) has been filed or that an investigation is ongoing</w:t>
      </w:r>
    </w:p>
    <w:p>
      <w:pPr>
        <w:spacing w:line="360" w:lineRule="auto" w:after="20"/>
        <w:ind w:firstLine="283"/>
      </w:pPr>
      <w:r>
        <w:t>B. Reporting entities can share general information about suspicious activities internally within the organization without compromising confidentiality</w:t>
      </w:r>
    </w:p>
    <w:p>
      <w:pPr>
        <w:spacing w:line="360" w:lineRule="auto" w:after="20"/>
        <w:ind w:firstLine="283"/>
      </w:pPr>
      <w:r>
        <w:t>C. Reporting entities must inform their clients if a suspicious activity report (SAR) has been filed as part of maintaining transparency in customer relations</w:t>
      </w:r>
    </w:p>
    <w:p>
      <w:pPr>
        <w:spacing w:line="360" w:lineRule="auto" w:after="20"/>
        <w:ind w:firstLine="283"/>
      </w:pPr>
      <w:r>
        <w:t>D. Reporting entities may discuss suspicious activity with the client before filing a suspicious activity report if doing so would help clarify the situation</w:t>
      </w:r>
    </w:p>
    <w:p>
      <w:pPr>
        <w:spacing w:line="360" w:lineRule="auto" w:after="40"/>
      </w:pPr>
      <w:r>
        <w:t>答案：A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FATF关于“通风报信”（tipping off）的禁止性定义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“通风报信”（tipping off）是调查人员有意或无意让调查对象知道其活动正在被监控的行为，反洗钱法规禁止这种行为</w:t>
      </w:r>
      <w:r>
        <w:rPr>
          <w:sz w:val="15"/>
          <w:vertAlign w:val="superscript"/>
        </w:rPr>
        <w:t>P340</w:t>
      </w:r>
      <w:r>
        <w:t>。关于SAR，常见规则要求避免</w:t>
      </w:r>
      <w:r>
        <w:rPr>
          <w:b/>
        </w:rPr>
        <w:t>向客户或其他未经授权方披露SAR</w:t>
      </w:r>
      <w:r>
        <w:rPr>
          <w:sz w:val="15"/>
          <w:vertAlign w:val="superscript"/>
        </w:rPr>
        <w:t>P352</w:t>
      </w:r>
      <w:r>
        <w:t>；法规还禁止披露SAR或任何表明SAR已经提交的信息，但特定执法机构属于例外</w:t>
      </w:r>
      <w:r>
        <w:rPr>
          <w:sz w:val="15"/>
          <w:vertAlign w:val="superscript"/>
        </w:rPr>
        <w:t>P353</w:t>
      </w:r>
      <w:r>
        <w:t>。因此，A最直接对应报告实体的保密义务。其中“第三方”应理解为未经授权的第三方，不能扩大为所有第三方；依法向有权机关披露与向客户或无权限人员泄露调查信息，性质不同。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教材要求即使在金融机构内部，SAR也应谨慎处理，并非所有人员都应有访问权限</w:t>
      </w:r>
      <w:r>
        <w:rPr>
          <w:sz w:val="15"/>
          <w:vertAlign w:val="superscript"/>
        </w:rPr>
        <w:t>P352</w:t>
      </w:r>
      <w:r>
        <w:t>。因此，在不披露SAR、申报事实或可据此推断申报的信息，并按权限控制的前提下，内部共享一般信息并非当然被禁止。B没有说明共享对象、授权范围和信息内容，也没有直接回答题干所问的通风报信禁止义务，因此不如A直接匹配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选项C主张将披露SAR作为“透明度”的一环，这与禁止通风报信的核心原则直接冲突。教材明确将向客户披露SAR内容定性为违法的“通风报信”行为</w:t>
      </w:r>
      <w:r>
        <w:rPr>
          <w:sz w:val="15"/>
          <w:vertAlign w:val="superscript"/>
        </w:rPr>
        <w:t>P353</w:t>
      </w:r>
      <w:r>
        <w:t>，而非透明度要求的一部分，因此其义务方向与A相反。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教材允许在信息确有必要且无法从内部或外部取得时规划客户外联</w:t>
      </w:r>
      <w:r>
        <w:rPr>
          <w:sz w:val="15"/>
          <w:vertAlign w:val="superscript"/>
        </w:rPr>
        <w:t>P340</w:t>
      </w:r>
      <w:r>
        <w:t>，但沟通人员必须保持保密并避免向客户通风报信</w:t>
      </w:r>
      <w:r>
        <w:rPr>
          <w:sz w:val="15"/>
          <w:vertAlign w:val="superscript"/>
        </w:rPr>
        <w:t>P339</w:t>
      </w:r>
      <w:r>
        <w:t>；通风报信包括让调查对象知道自己正在被监控</w:t>
      </w:r>
      <w:r>
        <w:rPr>
          <w:sz w:val="15"/>
          <w:vertAlign w:val="superscript"/>
        </w:rPr>
        <w:t>P340</w:t>
      </w:r>
      <w:r>
        <w:t>。因此，客户外联本身并非绝对禁止，但直接与客户“讨论可疑活动”可能暴露调查或怀疑状态，不能替代A所对应的明确保密义务。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“可以向客户询问以澄清情况”不等于可以向客户透露调查。教材允许为核实交易事实、发票或运营文件等关键信息而进行客户外联，但必须保持保密，不能透露SAR已提交、调查正在进行或客户已成为调查对象（P339-P340）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7. An employee at a financial institution (FI) suspects that one of their co-workers is involved in a financial investment scam syndicate. Which step should be taken next by the employee who has the suspicion?</w:t>
      </w:r>
    </w:p>
    <w:p>
      <w:pPr>
        <w:spacing w:line="360" w:lineRule="auto" w:after="20"/>
        <w:ind w:firstLine="283"/>
      </w:pPr>
      <w:r>
        <w:t>A. Conduct an open-source intelligence investigation using artificial intelligence tools to gain more information on the activities of the suspected employee</w:t>
      </w:r>
    </w:p>
    <w:p>
      <w:pPr>
        <w:spacing w:line="360" w:lineRule="auto" w:after="20"/>
        <w:ind w:firstLine="283"/>
      </w:pPr>
      <w:r>
        <w:t>B. Use the FI's whistleblowing channel to report the suspected employee</w:t>
      </w:r>
    </w:p>
    <w:p>
      <w:pPr>
        <w:spacing w:line="360" w:lineRule="auto" w:after="20"/>
        <w:ind w:firstLine="283"/>
      </w:pPr>
      <w:r>
        <w:t>C. Question their co-worker to determine if their suspicions are correct before reporting to the FI's Human Resources department</w:t>
      </w:r>
    </w:p>
    <w:p>
      <w:pPr>
        <w:spacing w:line="360" w:lineRule="auto" w:after="20"/>
        <w:ind w:firstLine="283"/>
      </w:pPr>
      <w:r>
        <w:t>D. Warn colleagues and customers that the suspicious financial investment recommendation made by the employee may be a scam</w:t>
      </w:r>
    </w:p>
    <w:p>
      <w:pPr>
        <w:spacing w:line="360" w:lineRule="auto" w:after="20"/>
        <w:ind w:firstLine="283"/>
      </w:pPr>
      <w:r>
        <w:t>E. Report the employee suspected of violating rules to the FI's direct manager, who will take the necessary action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员工内部举报可疑行为的正确渠道与程序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教材指出，内部热线和举报投诉可以成为反洗钱调查的信息来源</w:t>
      </w:r>
      <w:r>
        <w:rPr>
          <w:sz w:val="15"/>
          <w:vertAlign w:val="superscript"/>
        </w:rPr>
        <w:t>P335</w:t>
      </w:r>
      <w:r>
        <w:t>；机构还应建立政策和程序，使员工能够</w:t>
      </w:r>
      <w:r>
        <w:rPr>
          <w:b/>
        </w:rPr>
        <w:t>向指定合规官报告怀疑</w:t>
      </w:r>
      <w:r>
        <w:rPr>
          <w:sz w:val="15"/>
          <w:vertAlign w:val="superscript"/>
        </w:rPr>
        <w:t>P351</w:t>
      </w:r>
      <w:r>
        <w:t>。收到报告后，应由指定合规官评估相关信息并决定是否调查、升级或采取其他行动</w:t>
      </w:r>
      <w:r>
        <w:rPr>
          <w:sz w:val="15"/>
          <w:vertAlign w:val="superscript"/>
        </w:rPr>
        <w:t>P351</w:t>
      </w:r>
      <w:r>
        <w:t>。本题中的员工只是产生了合理怀疑，不应自行调查、质问涉事人员或向其他人员扩散未经核实的信息。选项B通过金融机构的正式举报渠道报告，最符合教材规定的内部报告和后续评估流程，因此正确。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"It is important that organizations implement policies and procedures to enable staff to report their suspicions to an assigned compliance officer."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普通员工的职责是报告怀疑，而不是自行使用人工智能或开源情报工具调查同事。自行调查可能涉及访问权限、个人信息处理和证据保全问题，也可能干扰机构后续的独立调查。教材规定，应由指定合规官在收到报告后评估信息并决定后续行动</w:t>
      </w:r>
      <w:r>
        <w:rPr>
          <w:sz w:val="15"/>
          <w:vertAlign w:val="superscript"/>
        </w:rPr>
        <w:t>P351</w:t>
      </w:r>
      <w:r>
        <w:t>，因此A不如B符合程序。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在报告前直接质问被怀疑的同事，可能使潜在调查对象提前察觉、改变行为或毁损证据，也绕过了机构的正式报告和评估程序。教材要求避免向潜在调查对象通风报信</w:t>
      </w:r>
      <w:r>
        <w:rPr>
          <w:sz w:val="15"/>
          <w:vertAlign w:val="superscript"/>
        </w:rPr>
        <w:t>P336</w:t>
      </w:r>
      <w:r>
        <w:t>；但是否构成法律意义上的通风报信，取决于具体法域和案件事实，不能仅凭本题事实直接认定。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向同事和客户传播尚未核实的诈骗指控，可能造成信息泄露、声誉损害并间接惊动相关人员，也会妨碍机构按照正式程序开展调查。正确做法是先通过举报渠道提交怀疑，由指定合规官评估</w:t>
      </w:r>
      <w:r>
        <w:rPr>
          <w:sz w:val="15"/>
          <w:vertAlign w:val="superscript"/>
        </w:rPr>
        <w:t>P351</w:t>
      </w:r>
      <w:r>
        <w:t>，而不是由举报员工自行对外警告。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某些机构可能允许员工向直属经理报告，因此该做法并非在所有情况下都错误。但本题明确提供了金融机构的正式举报渠道，该渠道更有利于保密处理，并能把信息交给具有评估职责的指定合规官，因此B优于E。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员工发现涉嫌金融犯罪的内部行为后，应“报告而非自行调查或对外扩散”。正式举报渠道负责将信息交给有权限的合规或调查人员</w:t>
      </w:r>
      <w:r>
        <w:rPr>
          <w:sz w:val="15"/>
          <w:vertAlign w:val="superscript"/>
        </w:rPr>
        <w:t>P351</w:t>
      </w:r>
      <w:r>
        <w:t>。需要注意，“惊动相关人员”和法律意义上的“通风报信”并不完全等同；仅凭本题给出的事实，不能直接认定有关行为已经构成某一法域下的刑事通风报信。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8. A compliance officer is completing a case and has determined that the events do not merit filing a suspicious activity report (SAR). Which of the following should be included in the case notes to justify not filing a SAR? (Choose Two.)</w:t>
      </w:r>
    </w:p>
    <w:p>
      <w:pPr>
        <w:spacing w:line="360" w:lineRule="auto" w:after="20"/>
        <w:ind w:firstLine="283"/>
      </w:pPr>
      <w:r>
        <w:t>A. Who made the decision not to file the SAR</w:t>
      </w:r>
    </w:p>
    <w:p>
      <w:pPr>
        <w:spacing w:line="360" w:lineRule="auto" w:after="20"/>
        <w:ind w:firstLine="283"/>
      </w:pPr>
      <w:r>
        <w:t>B. Why the officer deemed that the case did not merit filing a SAR</w:t>
      </w:r>
    </w:p>
    <w:p>
      <w:pPr>
        <w:spacing w:line="360" w:lineRule="auto" w:after="20"/>
        <w:ind w:firstLine="283"/>
      </w:pPr>
      <w:r>
        <w:t>C. How much money was involved in the case</w:t>
      </w:r>
    </w:p>
    <w:p>
      <w:pPr>
        <w:spacing w:line="360" w:lineRule="auto" w:after="20"/>
        <w:ind w:firstLine="283"/>
      </w:pPr>
      <w:r>
        <w:t>D. How the money flowed through the institution</w:t>
      </w:r>
    </w:p>
    <w:p>
      <w:pPr>
        <w:spacing w:line="360" w:lineRule="auto" w:after="20"/>
        <w:ind w:firstLine="283"/>
      </w:pPr>
      <w:r>
        <w:t>E. When the unusual activity occurred</w:t>
      </w:r>
    </w:p>
    <w:p>
      <w:pPr>
        <w:spacing w:line="360" w:lineRule="auto" w:after="40"/>
      </w:pPr>
      <w:r>
        <w:t>答案：A、B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不提交 SAR 时案例记录的核心要素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教材规定，决定不提交 SAR 时，必须详细记录做出该决定的</w:t>
      </w:r>
      <w:r>
        <w:rPr>
          <w:b/>
        </w:rPr>
        <w:t>理由（rationale）</w:t>
      </w:r>
      <w:r>
        <w:t>，包括触发审查的活动描述、分析步骤、决策依据及支持文件，以便监管机构理解该决定</w:t>
      </w:r>
      <w:r>
        <w:rPr>
          <w:sz w:val="15"/>
          <w:vertAlign w:val="superscript"/>
        </w:rPr>
        <w:t>P358</w:t>
      </w:r>
      <w:r>
        <w:t>。同时，</w:t>
      </w:r>
      <w:r>
        <w:rPr>
          <w:b/>
        </w:rPr>
        <w:t>MLRO 或指定官员</w:t>
      </w:r>
      <w:r>
        <w:t>通常负责对 SAR 提交做出最终决定</w:t>
      </w:r>
      <w:r>
        <w:rPr>
          <w:sz w:val="15"/>
          <w:vertAlign w:val="superscript"/>
        </w:rPr>
        <w:t>P346</w:t>
      </w:r>
      <w:r>
        <w:t>。本题中，合规官已做出“无需提交 SAR”的决定，其案例记录（case notes）的核心目的是“证明不提交 SAR 是合理的”（justify not filing a SAR）。要达成这一目的，记录必须回答两个关键问题：</w:t>
      </w:r>
      <w:r>
        <w:rPr>
          <w:b/>
        </w:rPr>
        <w:t>这个决定是谁基于什么理由做出的</w:t>
      </w:r>
      <w:r>
        <w:t>。选项 A“谁做的决定”明确了决策主体，选项 B“为何认为不值得提交”涵盖了决策的理由和分析过程，两者组合起来，刚好满足 P358 对“记录不提交 SAR 理由”的规定，同时也呼应了 P346 关于 MLRO 决策职责的要求。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金额大小是触发审查的原始事实，但题干问的是“证明不提交决定的理由”，而非“案件本身的事实细节”。教材规定的记录要素优先强调决策的推理过程（reasoning），而非孤立的事实数据。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资金流动情况属于触发审查的“活动描述”，虽可作为记录的支持文件之一</w:t>
      </w:r>
      <w:r>
        <w:rPr>
          <w:sz w:val="15"/>
          <w:vertAlign w:val="superscript"/>
        </w:rPr>
        <w:t>P358</w:t>
      </w:r>
      <w:r>
        <w:t>，但题干聚焦“证明合理性”，决策主体（谁）与推理过程（为何）比单纯描述资金怎么走更直接匹配教材对记录理由的定义。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异常活动发生的时间是描述触发活动的细节，但同样只描述了“发生了什么”，未涵盖“为何认为无需报告”的决策逻辑。教材对记录的侧重点更在于推理依据，而非时间节点本身。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容易把“案件事实”和“决策理由”混为一谈。金额、时间、资金路径是案件调查中收集的原始事实，而记录的重点在于说明基于这些事实得出了什么结论、以及为什么得出这个结论。教材用“rationale”和“reasoning”强调记录的是思维过程，而非事实清单</w:t>
      </w:r>
      <w:r>
        <w:rPr>
          <w:sz w:val="15"/>
          <w:vertAlign w:val="superscript"/>
        </w:rPr>
        <w:t>P358</w:t>
      </w:r>
      <w:r>
        <w:t>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9. According to FinCEN, when a financial institution (FI) identifies suspicious activity that necessitates a suspicious activity report (SAR) filing, the SAR supporting documentation should: (Select Two.)</w:t>
      </w:r>
    </w:p>
    <w:p>
      <w:pPr>
        <w:spacing w:line="360" w:lineRule="auto" w:after="20"/>
        <w:ind w:firstLine="283"/>
      </w:pPr>
      <w:r>
        <w:t>A. Include all documents or records that assisted the FI in making the determination that the activity required a filing</w:t>
      </w:r>
    </w:p>
    <w:p>
      <w:pPr>
        <w:spacing w:line="360" w:lineRule="auto" w:after="20"/>
        <w:ind w:firstLine="283"/>
      </w:pPr>
      <w:r>
        <w:t>B. Always be limited to account name, account details, and transaction records</w:t>
      </w:r>
    </w:p>
    <w:p>
      <w:pPr>
        <w:spacing w:line="360" w:lineRule="auto" w:after="20"/>
        <w:ind w:firstLine="283"/>
      </w:pPr>
      <w:r>
        <w:t>C. Have written policies and procedures to maintain supporting documentation</w:t>
      </w:r>
    </w:p>
    <w:p>
      <w:pPr>
        <w:spacing w:line="360" w:lineRule="auto" w:after="20"/>
        <w:ind w:firstLine="283"/>
      </w:pPr>
      <w:r>
        <w:t>D. Be saved in a single separate file with hard copies stored in a fireproof cabinet</w:t>
      </w:r>
    </w:p>
    <w:p>
      <w:pPr>
        <w:spacing w:line="360" w:lineRule="auto" w:after="40"/>
      </w:pPr>
      <w:r>
        <w:t>答案：A、C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SAR 支持性文件的合规范围与政策要求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教材要求，SAR 应包含客户信息、机构服务、交易活动、怀疑理由及任何支持性证据</w:t>
      </w:r>
      <w:r>
        <w:rPr>
          <w:sz w:val="15"/>
          <w:vertAlign w:val="superscript"/>
        </w:rPr>
        <w:t>P353</w:t>
      </w:r>
      <w:r>
        <w:t>。同时，在作出是否提交 SAR 的风险决策时，必须彻底记录调查发现及决策理由</w:t>
      </w:r>
      <w:r>
        <w:rPr>
          <w:sz w:val="15"/>
          <w:vertAlign w:val="superscript"/>
        </w:rPr>
        <w:t>P358</w:t>
      </w:r>
      <w:r>
        <w:t>。据此，题干问 SAR 支持性文件“应”如何，核心指向两个层面：一是范围上，</w:t>
      </w:r>
      <w:r>
        <w:rPr>
          <w:b/>
        </w:rPr>
        <w:t>所有协助作出提交决定的文件或记录都应纳入</w:t>
      </w:r>
      <w:r>
        <w:t>——对应选项 A；二是制度上，机构必须有</w:t>
      </w:r>
      <w:r>
        <w:rPr>
          <w:b/>
        </w:rPr>
        <w:t>维护这些文件的书面政策和程序</w:t>
      </w:r>
      <w:r>
        <w:t>——对应选项 C。二者共同反映了 FinCEN 对 SAR 文件完整性及流程规范性的双重要求。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"You should include information about the customer, services offered by the institution, transaction activity, rationale for suspicions, and any supporting evidence."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教材列举的 SAR 内容远不止账户名称、账户详情和交易记录，还包括怀疑理由及任何支持证据</w:t>
      </w:r>
      <w:r>
        <w:rPr>
          <w:sz w:val="15"/>
          <w:vertAlign w:val="superscript"/>
        </w:rPr>
        <w:t>P353</w:t>
      </w:r>
      <w:r>
        <w:t>。选项 B 用“Always be limited to”将文件范围锁定为三项，与教材“any supporting evidence”的开放表述矛盾。题干问的是支持性文件的合规范围，教材更直接支持 A 的全口径要求而非 B 的限定清单。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教材要求文档按照机构的记录保留政策保存（如 PDF、打印件等形式）</w:t>
      </w:r>
      <w:r>
        <w:rPr>
          <w:sz w:val="15"/>
          <w:vertAlign w:val="superscript"/>
        </w:rPr>
        <w:t>P345</w:t>
      </w:r>
      <w:r>
        <w:t>，并要求妥善安全存储以遵守隐私法和数据安全要求</w:t>
      </w:r>
      <w:r>
        <w:rPr>
          <w:sz w:val="15"/>
          <w:vertAlign w:val="superscript"/>
        </w:rPr>
        <w:t>P345</w:t>
      </w:r>
      <w:r>
        <w:t>，但未指定“单独文件”或“防火柜”等具体物理形式。选项 D 将合规性落脚于特定存储安排，而题干更直接匹配 A 的内容范围和 C 的制度程序要求。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