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CH12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The U.S. Department of the Treasury notes that which of the following represent high money laundering risk when de-risked from traditional financial institutions (FIs)? (Choose two.)</w:t>
      </w:r>
    </w:p>
    <w:p>
      <w:pPr>
        <w:spacing w:line="360" w:lineRule="auto" w:after="20"/>
        <w:ind w:firstLine="283"/>
      </w:pPr>
      <w:r>
        <w:t>A. Money services businesses (MSBs)</w:t>
      </w:r>
    </w:p>
    <w:p>
      <w:pPr>
        <w:spacing w:line="360" w:lineRule="auto" w:after="20"/>
        <w:ind w:firstLine="283"/>
      </w:pPr>
      <w:r>
        <w:t>B. Multinational corporations</w:t>
      </w:r>
    </w:p>
    <w:p>
      <w:pPr>
        <w:spacing w:line="360" w:lineRule="auto" w:after="20"/>
        <w:ind w:firstLine="283"/>
      </w:pPr>
      <w:r>
        <w:t>C. Individual foreign customers</w:t>
      </w:r>
    </w:p>
    <w:p>
      <w:pPr>
        <w:spacing w:line="360" w:lineRule="auto" w:after="20"/>
        <w:ind w:firstLine="283"/>
      </w:pPr>
      <w:r>
        <w:t>D. Non-profit organizations with international operations</w:t>
      </w:r>
    </w:p>
    <w:p>
      <w:pPr>
        <w:spacing w:line="360" w:lineRule="auto" w:after="40"/>
      </w:pPr>
      <w:r>
        <w:t>答案：A、D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识别去风险化后仍存高洗钱风险的实体类型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rPr>
          <w:b/>
        </w:rPr>
        <w:t>“去风险化”（de-risking）</w:t>
      </w:r>
      <w:r>
        <w:t>指金融机构因风险偏好、商业因素或合规约束，直接放弃服务整个高风险客户群体，而非通过</w:t>
      </w:r>
      <w:r>
        <w:rPr>
          <w:b/>
        </w:rPr>
        <w:t>风险为本的方法</w:t>
      </w:r>
      <w:r>
        <w:t>管理风险</w:t>
      </w:r>
      <w:r>
        <w:rPr>
          <w:sz w:val="15"/>
          <w:vertAlign w:val="superscript"/>
        </w:rPr>
        <w:t>P365</w:t>
      </w:r>
      <w:r>
        <w:t>。其结果是被放弃的客户群体</w:t>
      </w:r>
      <w:r>
        <w:rPr>
          <w:b/>
        </w:rPr>
        <w:t>“失去银行服务”</w:t>
      </w:r>
      <w:r>
        <w:t>，即“去银行化”</w:t>
      </w:r>
      <w:r>
        <w:rPr>
          <w:sz w:val="15"/>
          <w:vertAlign w:val="superscript"/>
        </w:rPr>
        <w:t>P365</w:t>
      </w:r>
      <w:r>
        <w:t>。教材明确列出，去风险化在各地区减少了代理行关系，并限制</w:t>
      </w:r>
      <w:r>
        <w:rPr>
          <w:b/>
        </w:rPr>
        <w:t>MSB、MVTS、加密货币交易所及NPO等行业获得银行服务</w:t>
      </w:r>
      <w:r>
        <w:rPr>
          <w:sz w:val="15"/>
          <w:vertAlign w:val="superscript"/>
        </w:rPr>
        <w:t>P365</w:t>
      </w:r>
      <w:r>
        <w:t>。据此，当传统金融机构对 MSB（选项A）和具有国际业务的非营利组织（选项D）实施去风险化后，这两类实体被挤出现行银行体系，转向更隐蔽、不受监管的资金转移渠道，洗钱风险反而升高，正与题干“被去风险化后代表较高洗钱风险”的条件吻合。题干主语“美国财政部”与教材提到的监管趋势一致，可推断二者指向同一监管语境下的高风险实体清单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"De-risking has reduced correspondent banking relationships in some regions and restricted banking access for sectors such as MSBs, cryptocurrency exchanges, money or value transfer services (MVTS), and non-profit organizations (NPO)."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教材对跨国公司的讨论集中在激进避税（aggressive tax avoidance）和高管所在司法辖区的合规要求上</w:t>
      </w:r>
      <w:r>
        <w:rPr>
          <w:sz w:val="15"/>
          <w:vertAlign w:val="superscript"/>
        </w:rPr>
        <w:t>P28、P292</w:t>
      </w:r>
      <w:r>
        <w:t>，并未将其列为去风险化的典型目标。去风险化更多涉及合规风险高、利润微薄或开户门槛高的行业，跨国公司规模大、合规资源充足，与题干条件匹配度不如A和D直接。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教材在讨论大使馆账户风险时，提及“直接为外国国民个人开支提供资金的账户可能混淆官方与个人财务”</w:t>
      </w:r>
      <w:r>
        <w:rPr>
          <w:sz w:val="15"/>
          <w:vertAlign w:val="superscript"/>
        </w:rPr>
        <w:t>P138</w:t>
      </w:r>
      <w:r>
        <w:t>，但此风险场景专指外交使团账户，并非去风险化语境下的高洗钱风险群体。去风险化针对的是“机构客户类型”而非“个人客户”，题干更支持A和D所在的“行业/组织”层面。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When making an independent determination on whether to close an account based on an internal investigation, a financial institution (FI) should consider: (Select Five.)</w:t>
      </w:r>
    </w:p>
    <w:p>
      <w:pPr>
        <w:spacing w:line="360" w:lineRule="auto" w:after="20"/>
        <w:ind w:firstLine="283"/>
      </w:pPr>
      <w:r>
        <w:t>A. Reputational risk.</w:t>
      </w:r>
    </w:p>
    <w:p>
      <w:pPr>
        <w:spacing w:line="360" w:lineRule="auto" w:after="20"/>
        <w:ind w:firstLine="283"/>
      </w:pPr>
      <w:r>
        <w:t>B. The customer's personal relationships.</w:t>
      </w:r>
    </w:p>
    <w:p>
      <w:pPr>
        <w:spacing w:line="360" w:lineRule="auto" w:after="20"/>
        <w:ind w:firstLine="283"/>
      </w:pPr>
      <w:r>
        <w:t>C. The frequency of account activity.</w:t>
      </w:r>
    </w:p>
    <w:p>
      <w:pPr>
        <w:spacing w:line="360" w:lineRule="auto" w:after="20"/>
        <w:ind w:firstLine="283"/>
      </w:pPr>
      <w:r>
        <w:t>D. The FI's policies and procedures.</w:t>
      </w:r>
    </w:p>
    <w:p>
      <w:pPr>
        <w:spacing w:line="360" w:lineRule="auto" w:after="20"/>
        <w:ind w:firstLine="283"/>
      </w:pPr>
      <w:r>
        <w:t>E. The seriousness of the underlying conduct.</w:t>
      </w:r>
    </w:p>
    <w:p>
      <w:pPr>
        <w:spacing w:line="360" w:lineRule="auto" w:after="20"/>
        <w:ind w:firstLine="283"/>
      </w:pPr>
      <w:r>
        <w:t xml:space="preserve">F. </w:t>
      </w:r>
    </w:p>
    <w:p>
      <w:pPr>
        <w:spacing w:line="360" w:lineRule="auto" w:after="20"/>
        <w:ind w:firstLine="283"/>
      </w:pPr>
      <w:r>
        <w:t xml:space="preserve">G. </w:t>
      </w:r>
    </w:p>
    <w:p>
      <w:pPr>
        <w:spacing w:line="360" w:lineRule="auto" w:after="40"/>
      </w:pPr>
      <w:r>
        <w:t>答案：A、D、E、F、G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基于风险的账户关闭决策因素。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金融机构根据内部调查独立决定是否关闭账户时，应综合考虑</w:t>
      </w:r>
      <w:r>
        <w:rPr>
          <w:b/>
        </w:rPr>
        <w:t>声誉风险</w:t>
      </w:r>
      <w:r>
        <w:t>（A）、机构自身政策和程序（D）、相关行为的严重程度（E）、</w:t>
      </w:r>
      <w:r>
        <w:rPr>
          <w:b/>
        </w:rPr>
        <w:t>与执法部门的往来信函</w:t>
      </w:r>
      <w:r>
        <w:t>（F），以及</w:t>
      </w:r>
      <w:r>
        <w:rPr>
          <w:b/>
        </w:rPr>
        <w:t>关闭账户的法律依据</w:t>
      </w:r>
      <w:r>
        <w:t>（G）（P356、P358、P361 P362、P364；FATF基于风险方法指引）。</w:t>
      </w:r>
    </w:p>
    <w:p>
      <w:pPr>
        <w:spacing w:line="360" w:lineRule="auto" w:after="40"/>
        <w:ind w:firstLine="420"/>
      </w:pPr>
      <w:r>
        <w:t>这些因素分别覆盖机构风险、内部治理标准、行为性质、外部执法信息和法律授权。B客户个人关系不是客观的AML决策标准；C账户活动频率可以触发调查，但不能脱离交易性质、严重程度和法律依据单独决定关闭。因此答案为A、D、E、F、G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区分“触发调查的指标”和“调查后作出关闭决定的治理与法律因素”（P356、P358、P361 P362、P364）。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3. Which practices should financial institutions (FIs) adopt for the process of terminating customer relationships? (Choose three.)</w:t>
      </w:r>
    </w:p>
    <w:p>
      <w:pPr>
        <w:spacing w:line="360" w:lineRule="auto" w:after="20"/>
        <w:ind w:firstLine="283"/>
      </w:pPr>
      <w:r>
        <w:t>A. Using a flexible communication style during the termination process that adapts to different customer situations</w:t>
      </w:r>
    </w:p>
    <w:p>
      <w:pPr>
        <w:spacing w:line="360" w:lineRule="auto" w:after="20"/>
        <w:ind w:firstLine="283"/>
      </w:pPr>
      <w:r>
        <w:t>B. Implementing a standardized procedure for customer termination that includes risk assessments and necessary documentation</w:t>
      </w:r>
    </w:p>
    <w:p>
      <w:pPr>
        <w:spacing w:line="360" w:lineRule="auto" w:after="20"/>
        <w:ind w:firstLine="283"/>
      </w:pPr>
      <w:r>
        <w:t>C. Performing a final review of a customer's transaction history and records to address any unresolved issues prior to termination</w:t>
      </w:r>
    </w:p>
    <w:p>
      <w:pPr>
        <w:spacing w:line="360" w:lineRule="auto" w:after="20"/>
        <w:ind w:firstLine="283"/>
      </w:pPr>
      <w:r>
        <w:t>D. Keeping records of the termination process, including the justification for the decision and any communications with the customer</w:t>
      </w:r>
    </w:p>
    <w:p>
      <w:pPr>
        <w:spacing w:line="360" w:lineRule="auto" w:after="20"/>
        <w:ind w:firstLine="283"/>
      </w:pPr>
      <w:r>
        <w:t>E. Notifying the customer of the termination decision only after the termination process is complete to prevent possible disputes</w:t>
      </w:r>
    </w:p>
    <w:p>
      <w:pPr>
        <w:spacing w:line="360" w:lineRule="auto" w:after="40"/>
      </w:pPr>
      <w:r>
        <w:t>答案：B、C、D</w:t>
      </w:r>
    </w:p>
    <w:p>
      <w:pPr>
        <w:spacing w:line="360" w:lineRule="auto" w:after="40"/>
      </w:pPr>
      <w:r>
        <w:rPr>
          <w:b/>
          <w:shd w:fill="D6E4F0" w:val="clear"/>
        </w:rP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t>识别客户关系终止时的</w:t>
      </w:r>
      <w:r>
        <w:rPr>
          <w:b/>
        </w:rPr>
        <w:t>标准程序</w:t>
      </w:r>
      <w:r>
        <w:t>、</w:t>
      </w:r>
      <w:r>
        <w:rPr>
          <w:b/>
        </w:rPr>
        <w:t>最终审查</w:t>
      </w:r>
      <w:r>
        <w:t>和</w:t>
      </w:r>
      <w:r>
        <w:rPr>
          <w:b/>
        </w:rPr>
        <w:t>留痕要求</w:t>
      </w:r>
      <w:r>
        <w:t>。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终止客户关系应使用</w:t>
      </w:r>
      <w:r>
        <w:rPr>
          <w:b/>
        </w:rPr>
        <w:t>标准化程序</w:t>
      </w:r>
      <w:r>
        <w:t>，B项要求进行风险评估并保留必要文件；C项要求在终止前</w:t>
      </w:r>
      <w:r>
        <w:rPr>
          <w:b/>
        </w:rPr>
        <w:t>审查交易历史和记录</w:t>
      </w:r>
      <w:r>
        <w:t>，处理未决调查或报告问题；D项要求完整保留</w:t>
      </w:r>
      <w:r>
        <w:rPr>
          <w:b/>
        </w:rPr>
        <w:t>决策理由以及与客户的沟通记录</w:t>
      </w:r>
      <w:r>
        <w:rPr>
          <w:sz w:val="15"/>
          <w:vertAlign w:val="superscript"/>
        </w:rPr>
        <w:t>P356</w:t>
      </w:r>
      <w:r>
        <w:t>。沟通方式可以因具体原因而调整，但A项所称的“灵活沟通”不能替代标准程序和最终审查。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A项错误：</w:t>
      </w:r>
    </w:p>
    <w:p>
      <w:pPr>
        <w:spacing w:line="360" w:lineRule="auto" w:after="40"/>
        <w:ind w:firstLine="420"/>
      </w:pPr>
      <w:r>
        <w:t>沟通需要注意不得通风报信，但题目问的是终止过程中的制度化做法，B、C、D更完整。</w:t>
      </w:r>
    </w:p>
    <w:p>
      <w:pPr>
        <w:spacing w:before="120" w:after="40"/>
      </w:pPr>
      <w:r>
        <w:rPr>
          <w:b/>
          <w:sz w:val="21"/>
          <w:shd w:fill="D6E4F0" w:val="clear"/>
        </w:rPr>
        <w:t>E项错误：</w:t>
      </w:r>
    </w:p>
    <w:p>
      <w:pPr>
        <w:spacing w:line="360" w:lineRule="auto" w:after="40"/>
        <w:ind w:firstLine="420"/>
      </w:pPr>
      <w:r>
        <w:t>不能一律等到流程结束后才通知客户；通知时点取决于终止原因和是否存在通风报信风险。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终止关系的核心顺序是：风险评估和调查收尾、标准化决定、记录理由与通信</w:t>
      </w:r>
      <w:r>
        <w:rPr>
          <w:sz w:val="15"/>
          <w:vertAlign w:val="superscript"/>
        </w:rPr>
        <w:t>P356</w:t>
      </w:r>
      <w:r>
        <w:t>；不能把“避免通风报信”理解为一律延迟通知。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