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CH08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According to FinCEN, which red flags within a bank account may, taken together, be indications of modern slavery, human trafficking, and exploitation? (Select two.)</w:t>
      </w:r>
    </w:p>
    <w:p>
      <w:pPr>
        <w:spacing w:line="360" w:lineRule="auto" w:after="20"/>
        <w:ind w:firstLine="283"/>
      </w:pPr>
      <w:r>
        <w:t>A. Incoming fund transfers from third-party payment processors with limited originator information</w:t>
      </w:r>
    </w:p>
    <w:p>
      <w:pPr>
        <w:spacing w:line="360" w:lineRule="auto" w:after="20"/>
        <w:ind w:firstLine="283"/>
      </w:pPr>
      <w:r>
        <w:t>B. Transactional activity with a registered virtual currency exchange</w:t>
      </w:r>
    </w:p>
    <w:p>
      <w:pPr>
        <w:spacing w:line="360" w:lineRule="auto" w:after="20"/>
        <w:ind w:firstLine="283"/>
      </w:pPr>
      <w:r>
        <w:t>C. Large amounts of cash payments to migrant agricultural workers</w:t>
      </w:r>
    </w:p>
    <w:p>
      <w:pPr>
        <w:spacing w:line="360" w:lineRule="auto" w:after="20"/>
        <w:ind w:firstLine="283"/>
      </w:pPr>
      <w:r>
        <w:t>D. Frequent payments for online advertisements or non-local classified ads</w:t>
      </w:r>
    </w:p>
    <w:p>
      <w:pPr>
        <w:spacing w:line="360" w:lineRule="auto" w:after="40"/>
      </w:pPr>
      <w:r>
        <w:t>答案：A、D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识别</w:t>
      </w:r>
      <w:r>
        <w:rPr>
          <w:b/>
        </w:rPr>
        <w:t>人口贩运</w:t>
      </w:r>
      <w:r>
        <w:t>和</w:t>
      </w:r>
      <w:r>
        <w:rPr>
          <w:b/>
        </w:rPr>
        <w:t>现代奴役</w:t>
      </w:r>
      <w:r>
        <w:t>相关的</w:t>
      </w:r>
      <w:r>
        <w:rPr>
          <w:b/>
        </w:rPr>
        <w:t>账户交易红旗</w:t>
      </w:r>
      <w:r>
        <w:t>。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人口贩运资金通常通过</w:t>
      </w:r>
      <w:r>
        <w:rPr>
          <w:b/>
        </w:rPr>
        <w:t>第三方或不完整的汇款人信息</w:t>
      </w:r>
      <w:r>
        <w:t>切断追踪链路，A项中的第三方支付处理商和有限汇款人信息符合这一特征</w:t>
      </w:r>
      <w:r>
        <w:rPr>
          <w:sz w:val="15"/>
          <w:vertAlign w:val="superscript"/>
        </w:rPr>
        <w:t>P34</w:t>
      </w:r>
      <w:r>
        <w:t>。D项“</w:t>
      </w:r>
      <w:r>
        <w:rPr>
          <w:b/>
        </w:rPr>
        <w:t>频繁支付在线广告或非本地分类广告费用</w:t>
      </w:r>
      <w:r>
        <w:t>”可能反映招募、控制或宣传受害者的运营活动；两项分别覆盖</w:t>
      </w:r>
      <w:r>
        <w:rPr>
          <w:b/>
        </w:rPr>
        <w:t>资金进入和运营支出</w:t>
      </w:r>
      <w:r>
        <w:t>。C项中的农业工人现金支付可能有合法工资解释，单独出现时不如D项具有贩运特异性。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与受监管虚拟货币交易所交易不是人口贩运特有红旗。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现金支付农业流动工人可能是正常工资安排，缺少控制、招募或剥削的附加事实。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不要只看到“现金”或“劳工”就判定人口贩运；应寻找隐藏身份、广告招募和第三方资金控制等组合信号</w:t>
      </w:r>
      <w:r>
        <w:rPr>
          <w:sz w:val="15"/>
          <w:vertAlign w:val="superscript"/>
        </w:rPr>
        <w:t>P34</w:t>
      </w:r>
      <w: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