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CH08 (EN)</w:t>
      </w:r>
    </w:p>
    <w:p>
      <w:pPr>
        <w:spacing w:line="360" w:lineRule="auto" w:after="160"/>
      </w:pPr>
      <w:r>
        <w:t>一、单项选择题</w:t>
      </w:r>
    </w:p>
    <w:p>
      <w:pPr>
        <w:spacing w:line="360" w:lineRule="auto" w:after="40"/>
      </w:pPr>
      <w:r>
        <w:t>1. An organization is developing a comprehensive anti-money laundering (AML) framework. Which of the following statements best describes the relationship between AML policies and procedures?</w:t>
      </w:r>
    </w:p>
    <w:p>
      <w:pPr>
        <w:spacing w:line="360" w:lineRule="auto" w:after="20"/>
        <w:ind w:firstLine="283"/>
      </w:pPr>
      <w:r>
        <w:t>A. Policies are detailed instructions for specific processes. Procedures are an overarching framework. Neither policies nor procedures are mandatory for knowledge and adherence.</w:t>
      </w:r>
    </w:p>
    <w:p>
      <w:pPr>
        <w:spacing w:line="360" w:lineRule="auto" w:after="20"/>
        <w:ind w:firstLine="283"/>
      </w:pPr>
      <w:r>
        <w:t>B. Policies are broad guidelines. Procedures are detailed instructions for specific processes. Only procedures are mandatory for knowledge and adherence.</w:t>
      </w:r>
    </w:p>
    <w:p>
      <w:pPr>
        <w:spacing w:line="360" w:lineRule="auto" w:after="20"/>
        <w:ind w:firstLine="283"/>
      </w:pPr>
      <w:r>
        <w:t>C. Policies are detailed instructions for specific processes. Procedures are an overarching framework. Both policies and procedures are mandatory for knowledge and adherence.</w:t>
      </w:r>
    </w:p>
    <w:p>
      <w:pPr>
        <w:spacing w:line="360" w:lineRule="auto" w:after="20"/>
        <w:ind w:firstLine="283"/>
      </w:pPr>
      <w:r>
        <w:t>D. Policies set out the organization's principles and influence the development of procedures. Procedures are detailed instructions for specific processes.</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政策（原则框架）与程序（具体步骤）的层级关系</w:t>
      </w:r>
    </w:p>
    <w:p>
      <w:pPr>
        <w:spacing w:before="120" w:after="40"/>
      </w:pPr>
      <w:r>
        <w:rPr>
          <w:b/>
          <w:sz w:val="21"/>
          <w:shd w:fill="D6E4F0" w:val="clear"/>
        </w:rPr>
        <w:t>核心解析：</w:t>
      </w:r>
    </w:p>
    <w:p>
      <w:pPr>
        <w:spacing w:line="360" w:lineRule="auto" w:after="40"/>
        <w:ind w:firstLine="420"/>
      </w:pPr>
      <w:r>
        <w:t>政策解释法律法规并提供一个框架，程序则是如何实施政策的逐步说明</w:t>
      </w:r>
      <w:r>
        <w:rPr>
          <w:sz w:val="15"/>
          <w:vertAlign w:val="superscript"/>
        </w:rPr>
        <w:t>P244</w:t>
      </w:r>
      <w:r>
        <w:t>。政策确立反金融犯罪合规的</w:t>
      </w:r>
      <w:r>
        <w:rPr>
          <w:b/>
        </w:rPr>
        <w:t>原则、目标和监管义务</w:t>
      </w:r>
      <w:r>
        <w:t>，将法律要求转化为业务承诺</w:t>
      </w:r>
      <w:r>
        <w:rPr>
          <w:sz w:val="15"/>
          <w:vertAlign w:val="superscript"/>
        </w:rPr>
        <w:t>P291</w:t>
      </w:r>
      <w:r>
        <w:t>；程序提供详细的分步实施指南，确保政策在不同单元和辖区一致应用</w:t>
      </w:r>
      <w:r>
        <w:rPr>
          <w:sz w:val="15"/>
          <w:vertAlign w:val="superscript"/>
        </w:rPr>
        <w:t>P291</w:t>
      </w:r>
      <w:r>
        <w:t>。可见，政策是上层原则，决定程序的制定方向；程序是政策的具体落地。因此，选项B“政策规定了组织的原则，并影响程序的制定。程序是针对特定流程的详细说明”准确描述了这一关系——</w:t>
      </w:r>
      <w:r>
        <w:rPr>
          <w:b/>
        </w:rPr>
        <w:t>政策定义原则并影响程序，程序将政策细化为操作指令</w:t>
      </w:r>
      <w:r>
        <w:t>。</w:t>
      </w:r>
    </w:p>
    <w:p>
      <w:pPr>
        <w:spacing w:before="120" w:after="40"/>
      </w:pPr>
      <w:r>
        <w:rPr>
          <w:b/>
          <w:sz w:val="21"/>
          <w:shd w:fill="D6E4F0" w:val="clear"/>
        </w:rPr>
        <w:t>教材原句：</w:t>
      </w:r>
    </w:p>
    <w:p>
      <w:pPr>
        <w:spacing w:line="360" w:lineRule="auto" w:after="40"/>
        <w:ind w:firstLine="420"/>
      </w:pPr>
      <w:r>
        <w:t>"Policies interpret laws and regulations, and provide the framework while procedures are the step-by-step instructions on how to implement the policies."</w:t>
      </w:r>
    </w:p>
    <w:p>
      <w:pPr>
        <w:spacing w:before="120" w:after="40"/>
      </w:pPr>
      <w:r>
        <w:rPr>
          <w:b/>
          <w:sz w:val="21"/>
          <w:shd w:fill="D6E4F0" w:val="clear"/>
        </w:rPr>
        <w:t>A项错误：</w:t>
      </w:r>
    </w:p>
    <w:p>
      <w:pPr>
        <w:spacing w:line="360" w:lineRule="auto" w:after="40"/>
        <w:ind w:firstLine="420"/>
      </w:pPr>
      <w:r>
        <w:t>选项前半句将政策称为“宽泛的指导方针”与教材框架定位大致接近，但后半句称“只有程序必须了解和遵守”偏离了教材要求。员工培训涵盖反洗钱政策、程序与风险意识</w:t>
      </w:r>
      <w:r>
        <w:rPr>
          <w:sz w:val="15"/>
          <w:vertAlign w:val="superscript"/>
        </w:rPr>
        <w:t>P244</w:t>
      </w:r>
      <w:r>
        <w:t>，说明政策同样是强制知晓和遵守的内容，并非仅限于程序。因此，题干对政策与程序关系的描述，更直接匹配B而非A。</w:t>
      </w:r>
    </w:p>
    <w:p>
      <w:pPr>
        <w:spacing w:before="120" w:after="40"/>
      </w:pPr>
      <w:r>
        <w:rPr>
          <w:b/>
          <w:sz w:val="21"/>
          <w:shd w:fill="D6E4F0" w:val="clear"/>
        </w:rPr>
        <w:t>C项错误：</w:t>
      </w:r>
    </w:p>
    <w:p>
      <w:pPr>
        <w:spacing w:line="360" w:lineRule="auto" w:after="40"/>
        <w:ind w:firstLine="420"/>
      </w:pPr>
      <w:r>
        <w:t>选项将政策定义为针对特定流程的详细说明、程序为总体框架，完全颠倒了教材的定义——政策是框架，程序是逐步说明</w:t>
      </w:r>
      <w:r>
        <w:rPr>
          <w:sz w:val="15"/>
          <w:vertAlign w:val="superscript"/>
        </w:rPr>
        <w:t>P244</w:t>
      </w:r>
      <w:r>
        <w:t>。此外，声称政策和程序都不强制，与教材要求员工培训必须覆盖政策与程序</w:t>
      </w:r>
      <w:r>
        <w:rPr>
          <w:sz w:val="15"/>
          <w:vertAlign w:val="superscript"/>
        </w:rPr>
        <w:t>P244</w:t>
      </w:r>
      <w:r>
        <w:t>相矛盾。C的描述从根本上偏离了教材对两者关系的界定，而B直接反映了政策作为原则影响程序制定的正确层级。</w:t>
      </w:r>
    </w:p>
    <w:p>
      <w:pPr>
        <w:spacing w:before="120" w:after="40"/>
      </w:pPr>
      <w:r>
        <w:rPr>
          <w:b/>
          <w:sz w:val="21"/>
          <w:shd w:fill="D6E4F0" w:val="clear"/>
        </w:rPr>
        <w:t>D项错误：选项承认政策和程序都必须了解并遵守，这比C更接近现实，但其核心定义仍然颠倒：</w:t>
      </w:r>
    </w:p>
    <w:p>
      <w:pPr>
        <w:spacing w:line="360" w:lineRule="auto" w:after="40"/>
        <w:ind w:firstLine="420"/>
      </w:pPr>
      <w:r>
        <w:t>将政策视为详细说明、程序视为总体框架，与政策提供框架、程序是逐步实施说明的教材定义</w:t>
      </w:r>
      <w:r>
        <w:rPr>
          <w:sz w:val="15"/>
          <w:vertAlign w:val="superscript"/>
        </w:rPr>
        <w:t>P244</w:t>
      </w:r>
      <w:r>
        <w:t>完全相反。由于基本定义错误，D对二者关系的描述不如B直接匹配教材的层级逻辑。</w:t>
      </w:r>
    </w:p>
    <w:p>
      <w:pPr>
        <w:spacing w:before="120" w:after="40"/>
      </w:pPr>
      <w:r>
        <w:rPr>
          <w:b/>
          <w:sz w:val="21"/>
          <w:shd w:fill="D6E4F0" w:val="clear"/>
        </w:rPr>
        <w:t>易错提醒：</w:t>
      </w:r>
    </w:p>
    <w:p>
      <w:pPr>
        <w:spacing w:line="360" w:lineRule="auto" w:after="40"/>
        <w:ind w:firstLine="420"/>
      </w:pPr>
      <w:r>
        <w:t>政策与程序的定义层级容易混淆。记住：政策是框架，确立原则和目标</w:t>
      </w:r>
      <w:r>
        <w:rPr>
          <w:sz w:val="15"/>
          <w:vertAlign w:val="superscript"/>
        </w:rPr>
        <w:t>P291</w:t>
      </w:r>
      <w:r>
        <w:t>，程序是执行政策的具体步骤</w:t>
      </w:r>
      <w:r>
        <w:rPr>
          <w:sz w:val="15"/>
          <w:vertAlign w:val="superscript"/>
        </w:rPr>
        <w:t>P244</w:t>
      </w:r>
      <w:r>
        <w:t>。政策在上，程序在下，前者影响后者的制定，而非相反。</w:t>
      </w:r>
    </w:p>
    <w:p>
      <w:pPr>
        <w:spacing w:line="360" w:lineRule="auto" w:after="120"/>
      </w:pPr>
      <w:r/>
    </w:p>
    <w:p>
      <w:pPr>
        <w:spacing w:line="360" w:lineRule="auto" w:after="40"/>
      </w:pPr>
      <w:r>
        <w:t>2. What is the primary purpose of a risk appetite statement (RAS) in an organization, and how should it be effectively communicated and implemented?</w:t>
      </w:r>
    </w:p>
    <w:p>
      <w:pPr>
        <w:spacing w:line="360" w:lineRule="auto" w:after="20"/>
        <w:ind w:firstLine="283"/>
      </w:pPr>
      <w:r>
        <w:t>A. An RAS defines the amount and type of risk an organization is willing to take to achieve its objectives and should be communicated clearly to all stakeholders, with corresponding controls implemented</w:t>
      </w:r>
    </w:p>
    <w:p>
      <w:pPr>
        <w:spacing w:line="360" w:lineRule="auto" w:after="20"/>
        <w:ind w:firstLine="283"/>
      </w:pPr>
      <w:r>
        <w:t>B. An RAS is a detailed plan for managing operational risks and does not cover strategic or financial risks</w:t>
      </w:r>
    </w:p>
    <w:p>
      <w:pPr>
        <w:spacing w:line="360" w:lineRule="auto" w:after="20"/>
        <w:ind w:firstLine="283"/>
      </w:pPr>
      <w:r>
        <w:t>C. An RAS is a formal document meant for regulatory compliance that does not influence day-to-day risk management practices within the organization</w:t>
      </w:r>
    </w:p>
    <w:p>
      <w:pPr>
        <w:spacing w:line="360" w:lineRule="auto" w:after="20"/>
        <w:ind w:firstLine="283"/>
      </w:pPr>
      <w:r>
        <w:t>D. A risk appetite statement is used to explain risk tolerance limits to external stakeholders and does not need to be communicated within the organization</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RAS的定义及传达落实的两个维度</w:t>
      </w:r>
    </w:p>
    <w:p>
      <w:pPr>
        <w:spacing w:before="120" w:after="40"/>
      </w:pPr>
      <w:r>
        <w:rPr>
          <w:b/>
          <w:sz w:val="21"/>
          <w:shd w:fill="D6E4F0" w:val="clear"/>
        </w:rPr>
        <w:t>核心解析：</w:t>
      </w:r>
    </w:p>
    <w:p>
      <w:pPr>
        <w:spacing w:line="360" w:lineRule="auto" w:after="40"/>
        <w:ind w:firstLine="420"/>
      </w:pPr>
      <w:r>
        <w:t>风险偏好声明（RAS）指组织为实现其目标而愿意承担的风险水平</w:t>
      </w:r>
      <w:r>
        <w:rPr>
          <w:sz w:val="15"/>
          <w:vertAlign w:val="superscript"/>
        </w:rPr>
        <w:t>P243</w:t>
      </w:r>
      <w:r>
        <w:t>。一份正式的RAS由高级管理层制定、董事会批准，它定义组织基于其战略目标、监管环境和外部期望，愿意接受、缓释或规避哪些类型的风险</w:t>
      </w:r>
      <w:r>
        <w:rPr>
          <w:sz w:val="15"/>
          <w:vertAlign w:val="superscript"/>
        </w:rPr>
        <w:t>P272</w:t>
      </w:r>
      <w:r>
        <w:t>。题干问RAS的“主要目的”与“如何有效传达和落实”，这正好对应教材对RAS的两个层面的要求：第一，明确</w:t>
      </w:r>
      <w:r>
        <w:rPr>
          <w:b/>
        </w:rPr>
        <w:t>风险量和风险类型</w:t>
      </w:r>
      <w:r>
        <w:t>；第二，必须</w:t>
      </w:r>
      <w:r>
        <w:rPr>
          <w:b/>
        </w:rPr>
        <w:t>广泛传达并落地执行</w:t>
      </w:r>
      <w:r>
        <w:t>。在传达层面，教材要求RAS应易于所有利益相关者理解</w:t>
      </w:r>
      <w:r>
        <w:rPr>
          <w:sz w:val="15"/>
          <w:vertAlign w:val="superscript"/>
        </w:rPr>
        <w:t>P271</w:t>
      </w:r>
      <w:r>
        <w:t>，并确保所有业务单元知悉RAS及其更新</w:t>
      </w:r>
      <w:r>
        <w:rPr>
          <w:sz w:val="15"/>
          <w:vertAlign w:val="superscript"/>
        </w:rPr>
        <w:t>P273</w:t>
      </w:r>
      <w:r>
        <w:t>。在落实层面，教材指出RAS指导行为、决策和风险管理实践</w:t>
      </w:r>
      <w:r>
        <w:rPr>
          <w:sz w:val="15"/>
          <w:vertAlign w:val="superscript"/>
        </w:rPr>
        <w:t>P243</w:t>
      </w:r>
      <w:r>
        <w:t>，其所设定的风险偏好与风险容忍度会直接影响后续的政策、程序和控制措施。选项A将这两层含义完整融合——“明确了组织为实现其目标愿意承担的风险量和风险类型”对应教材对RAS的目的定义，“应当清晰地传达给所有利益相关者，并实施相应的控制措施”则对应传达和落地两个执行环节。相比之下，其余选项或窄化RAS的覆盖范围，或否认其实践指导功能，均无法完整匹配题干的双重要求。</w:t>
      </w:r>
    </w:p>
    <w:p>
      <w:pPr>
        <w:spacing w:before="120" w:after="40"/>
      </w:pPr>
      <w:r>
        <w:rPr>
          <w:b/>
          <w:sz w:val="21"/>
          <w:shd w:fill="D6E4F0" w:val="clear"/>
        </w:rPr>
        <w:t>教材原句：</w:t>
      </w:r>
    </w:p>
    <w:p>
      <w:pPr>
        <w:spacing w:line="360" w:lineRule="auto" w:after="40"/>
        <w:ind w:firstLine="420"/>
      </w:pPr>
      <w:r>
        <w:t>"The risk appetite statement defines the risk level the organization is willing to operate within to achieve its objectives."</w:t>
      </w:r>
    </w:p>
    <w:p>
      <w:pPr>
        <w:spacing w:before="120" w:after="40"/>
      </w:pPr>
      <w:r>
        <w:rPr>
          <w:b/>
          <w:sz w:val="21"/>
          <w:shd w:fill="D6E4F0" w:val="clear"/>
        </w:rPr>
        <w:t>B项错误：</w:t>
      </w:r>
    </w:p>
    <w:p>
      <w:pPr>
        <w:spacing w:line="360" w:lineRule="auto" w:after="40"/>
        <w:ind w:firstLine="420"/>
      </w:pPr>
      <w:r>
        <w:t>该项把RAS窄化为仅管理运营风险的详细计划。教材定义RAS时明确指出它“支持组织的业务目标”，并定义组织愿意接受、缓释或规避的风险类型</w:t>
      </w:r>
      <w:r>
        <w:rPr>
          <w:sz w:val="15"/>
          <w:vertAlign w:val="superscript"/>
        </w:rPr>
        <w:t>P272</w:t>
      </w:r>
      <w:r>
        <w:t>；董事会批准RAS时也要求其与战略业务目标一致</w:t>
      </w:r>
      <w:r>
        <w:rPr>
          <w:sz w:val="15"/>
          <w:vertAlign w:val="superscript"/>
        </w:rPr>
        <w:t>P243</w:t>
      </w:r>
      <w:r>
        <w:t>。可见RAS的覆盖范围远不止运营风险。</w:t>
      </w:r>
    </w:p>
    <w:p>
      <w:pPr>
        <w:spacing w:before="120" w:after="40"/>
      </w:pPr>
      <w:r>
        <w:rPr>
          <w:b/>
          <w:sz w:val="21"/>
          <w:shd w:fill="D6E4F0" w:val="clear"/>
        </w:rPr>
        <w:t>C项错误：</w:t>
      </w:r>
    </w:p>
    <w:p>
      <w:pPr>
        <w:spacing w:line="360" w:lineRule="auto" w:after="40"/>
        <w:ind w:firstLine="420"/>
      </w:pPr>
      <w:r>
        <w:t>该项认为RAS是仅用于满足监管要求、不影响日常风险管理实践的形式文件。教材明确说RAS指导行为、决策和风险管理实践</w:t>
      </w:r>
      <w:r>
        <w:rPr>
          <w:sz w:val="15"/>
          <w:vertAlign w:val="superscript"/>
        </w:rPr>
        <w:t>P243</w:t>
      </w:r>
      <w:r>
        <w:t>，可见它直接嵌入组织的日常风险决策链路，并非一纸空文。</w:t>
      </w:r>
    </w:p>
    <w:p>
      <w:pPr>
        <w:spacing w:before="120" w:after="40"/>
      </w:pPr>
      <w:r>
        <w:rPr>
          <w:b/>
          <w:sz w:val="21"/>
          <w:shd w:fill="D6E4F0" w:val="clear"/>
        </w:rPr>
        <w:t>D项错误：</w:t>
      </w:r>
    </w:p>
    <w:p>
      <w:pPr>
        <w:spacing w:line="360" w:lineRule="auto" w:after="40"/>
        <w:ind w:firstLine="420"/>
      </w:pPr>
      <w:r>
        <w:t>该项说RAS仅用于向外部利益相关者阐明风险容忍限度，无需在内部传达。教材恰恰要求确保所有业务单元了解RAS及其更新</w:t>
      </w:r>
      <w:r>
        <w:rPr>
          <w:sz w:val="15"/>
          <w:vertAlign w:val="superscript"/>
        </w:rPr>
        <w:t>P273</w:t>
      </w:r>
      <w:r>
        <w:t>，并且声明应易于所有利益相关者理解</w:t>
      </w:r>
      <w:r>
        <w:rPr>
          <w:sz w:val="15"/>
          <w:vertAlign w:val="superscript"/>
        </w:rPr>
        <w:t>P271</w:t>
      </w:r>
      <w:r>
        <w:t>，这里的“所有利益相关者”显然包含内部各级人员。因此，题干更直接支持内部传达的必要性，而非将其限定为一份外宣文件。</w:t>
      </w:r>
    </w:p>
    <w:p>
      <w:pPr>
        <w:spacing w:before="120" w:after="40"/>
      </w:pPr>
      <w:r>
        <w:rPr>
          <w:b/>
          <w:sz w:val="21"/>
          <w:shd w:fill="D6E4F0" w:val="clear"/>
        </w:rPr>
        <w:t>易错提醒：</w:t>
      </w:r>
    </w:p>
    <w:p>
      <w:pPr>
        <w:spacing w:line="360" w:lineRule="auto" w:after="40"/>
        <w:ind w:firstLine="420"/>
      </w:pPr>
      <w:r>
        <w:t>容易将RAS误解为仅有外部沟通功能，或只看风险种类而忽略传达维度。教材强调，首先应在内部确保所有业务单元了解RAS及其更新</w:t>
      </w:r>
      <w:r>
        <w:rPr>
          <w:sz w:val="15"/>
          <w:vertAlign w:val="superscript"/>
        </w:rPr>
        <w:t>P273</w:t>
      </w:r>
      <w:r>
        <w:t>，且内容应积极、易于理解，而非一份只写给监管机构或外部人士的文件。</w:t>
      </w:r>
    </w:p>
    <w:p>
      <w:pPr>
        <w:spacing w:line="360" w:lineRule="auto" w:after="120"/>
      </w:pPr>
      <w:r/>
    </w:p>
    <w:p>
      <w:pPr>
        <w:spacing w:line="360" w:lineRule="auto" w:after="40"/>
      </w:pPr>
      <w:r>
        <w:t>3. A financial crimes risk appetite statement describes:</w:t>
      </w:r>
    </w:p>
    <w:p>
      <w:pPr>
        <w:spacing w:line="360" w:lineRule="auto" w:after="20"/>
        <w:ind w:firstLine="283"/>
      </w:pPr>
      <w:r>
        <w:t>A. How an organization defines its risk-based approach</w:t>
      </w:r>
    </w:p>
    <w:p>
      <w:pPr>
        <w:spacing w:line="360" w:lineRule="auto" w:after="20"/>
        <w:ind w:firstLine="283"/>
      </w:pPr>
      <w:r>
        <w:t>B. How an organization determines its key risk and performance indicators</w:t>
      </w:r>
    </w:p>
    <w:p>
      <w:pPr>
        <w:spacing w:line="360" w:lineRule="auto" w:after="20"/>
        <w:ind w:firstLine="283"/>
      </w:pPr>
      <w:r>
        <w:t>C. The level and type of risk the organization is willing to take to meet its objectives</w:t>
      </w:r>
    </w:p>
    <w:p>
      <w:pPr>
        <w:spacing w:line="360" w:lineRule="auto" w:after="20"/>
        <w:ind w:firstLine="283"/>
      </w:pPr>
      <w:r>
        <w:t>D. The purpose of an organization's financial crimes compliance program</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区分风险偏好声明、风险容忍度与基于风险的方法</w:t>
      </w:r>
    </w:p>
    <w:p>
      <w:pPr>
        <w:spacing w:before="120" w:after="40"/>
      </w:pPr>
      <w:r>
        <w:rPr>
          <w:b/>
          <w:sz w:val="21"/>
          <w:shd w:fill="D6E4F0" w:val="clear"/>
        </w:rPr>
        <w:t>核心解析：</w:t>
      </w:r>
    </w:p>
    <w:p>
      <w:pPr>
        <w:spacing w:line="360" w:lineRule="auto" w:after="40"/>
        <w:ind w:firstLine="420"/>
      </w:pPr>
      <w:r>
        <w:t>风险偏好声明（Risk Appetite Statement, RAS）是由高级管理层制定、董事会批准的形式文件，用于定义组织为实现目标愿意承担的</w:t>
      </w:r>
      <w:r>
        <w:rPr>
          <w:b/>
        </w:rPr>
        <w:t>风险水平和类型</w:t>
      </w:r>
      <w:r>
        <w:rPr>
          <w:sz w:val="15"/>
          <w:vertAlign w:val="superscript"/>
        </w:rPr>
        <w:t>P243、P272</w:t>
      </w:r>
      <w:r>
        <w:t>。题干直接询问“金融犯罪风险偏好声明描述的是什么”，选项C“组织为实现其目标愿意承担的风险水平和类型”完整匹配该定义。P272进一步说明RAS明确了组织愿意接受、减轻或避免的风险类型，因此选项C不仅在水平上、也在类型上覆盖了教材定义。</w:t>
      </w:r>
    </w:p>
    <w:p>
      <w:pPr>
        <w:spacing w:before="120" w:after="40"/>
      </w:pPr>
      <w:r>
        <w:rPr>
          <w:b/>
          <w:sz w:val="21"/>
          <w:shd w:fill="D6E4F0" w:val="clear"/>
        </w:rPr>
        <w:t>教材原句：</w:t>
      </w:r>
    </w:p>
    <w:p>
      <w:pPr>
        <w:spacing w:line="360" w:lineRule="auto" w:after="40"/>
        <w:ind w:firstLine="420"/>
      </w:pPr>
      <w:r>
        <w:t>"The risk appetite statement defines the risk level the organization is willing to operate within to achieve its objectives."</w:t>
      </w:r>
    </w:p>
    <w:p>
      <w:pPr>
        <w:spacing w:before="120" w:after="40"/>
      </w:pPr>
      <w:r>
        <w:rPr>
          <w:b/>
          <w:sz w:val="21"/>
          <w:shd w:fill="D6E4F0" w:val="clear"/>
        </w:rPr>
        <w:t>A项错误：</w:t>
      </w:r>
    </w:p>
    <w:p>
      <w:pPr>
        <w:spacing w:line="360" w:lineRule="auto" w:after="40"/>
        <w:ind w:firstLine="420"/>
      </w:pPr>
      <w:r>
        <w:t>基于风险的方法是指优先处理高概率和严重影响的风险</w:t>
      </w:r>
      <w:r>
        <w:rPr>
          <w:sz w:val="15"/>
          <w:vertAlign w:val="superscript"/>
        </w:rPr>
        <w:t>P276</w:t>
      </w:r>
      <w:r>
        <w:t>，属于资源配置原则，而非风险偏好声明本身。风险偏好声明定义了愿意承担的风险水平和类型，不直接描述“如何定义基于风险的方法”，题干更匹配C而非A。</w:t>
      </w:r>
    </w:p>
    <w:p>
      <w:pPr>
        <w:spacing w:before="120" w:after="40"/>
      </w:pPr>
      <w:r>
        <w:rPr>
          <w:b/>
          <w:sz w:val="21"/>
          <w:shd w:fill="D6E4F0" w:val="clear"/>
        </w:rPr>
        <w:t>B项错误：</w:t>
      </w:r>
    </w:p>
    <w:p>
      <w:pPr>
        <w:spacing w:line="360" w:lineRule="auto" w:after="40"/>
        <w:ind w:firstLine="420"/>
      </w:pPr>
      <w:r>
        <w:t>关键风险指标（KRI）和关键绩效指标（KPI）是内部报告中用于评估风险和控制效果的指标</w:t>
      </w:r>
      <w:r>
        <w:rPr>
          <w:sz w:val="15"/>
          <w:vertAlign w:val="superscript"/>
        </w:rPr>
        <w:t>P296</w:t>
      </w:r>
      <w:r>
        <w:t>，属于风险管理监控工具，而非风险偏好声明的内容。题干问的是声明本身的描述，B指向后续执行层面，匹配度不如C直接。</w:t>
      </w:r>
    </w:p>
    <w:p>
      <w:pPr>
        <w:spacing w:before="120" w:after="40"/>
      </w:pPr>
      <w:r>
        <w:rPr>
          <w:b/>
          <w:sz w:val="21"/>
          <w:shd w:fill="D6E4F0" w:val="clear"/>
        </w:rPr>
        <w:t>D项错误：</w:t>
      </w:r>
    </w:p>
    <w:p>
      <w:pPr>
        <w:spacing w:line="360" w:lineRule="auto" w:after="40"/>
        <w:ind w:firstLine="420"/>
      </w:pPr>
      <w:r>
        <w:t>金融犯罪合规计划的目的在于预防、检测、减轻和报告非法金融活动</w:t>
      </w:r>
      <w:r>
        <w:rPr>
          <w:sz w:val="15"/>
          <w:vertAlign w:val="superscript"/>
        </w:rPr>
        <w:t>P288</w:t>
      </w:r>
      <w:r>
        <w:t>，范围较广。风险偏好声明是该计划的要素之一</w:t>
      </w:r>
      <w:r>
        <w:rPr>
          <w:sz w:val="15"/>
          <w:vertAlign w:val="superscript"/>
        </w:rPr>
        <w:t>P243</w:t>
      </w:r>
      <w:r>
        <w:t>，是计划中关于风险边界的具体描述，而非整个计划的目的。因此D不如C精确对应风险偏好声明本身。</w:t>
      </w:r>
    </w:p>
    <w:p>
      <w:pPr>
        <w:spacing w:before="120" w:after="40"/>
      </w:pPr>
      <w:r>
        <w:rPr>
          <w:b/>
          <w:sz w:val="21"/>
          <w:shd w:fill="D6E4F0" w:val="clear"/>
        </w:rPr>
        <w:t>易错提醒：</w:t>
      </w:r>
    </w:p>
    <w:p>
      <w:pPr>
        <w:spacing w:line="360" w:lineRule="auto" w:after="40"/>
        <w:ind w:firstLine="420"/>
      </w:pPr>
      <w:r>
        <w:t>风险偏好声明定义组织为实现目标愿意承担的风险水平和类型</w:t>
      </w:r>
      <w:r>
        <w:rPr>
          <w:sz w:val="15"/>
          <w:vertAlign w:val="superscript"/>
        </w:rPr>
        <w:t>P243</w:t>
      </w:r>
      <w:r>
        <w:t>，而风险容忍度则是在该偏好范围内为特定风险类别设定定量和定性界限</w:t>
      </w:r>
      <w:r>
        <w:rPr>
          <w:sz w:val="15"/>
          <w:vertAlign w:val="superscript"/>
        </w:rPr>
        <w:t>P244</w:t>
      </w:r>
      <w:r>
        <w:t>。前者是整体方向和边界，后者是细化的可接受界限，两者易混淆。</w:t>
      </w:r>
    </w:p>
    <w:p>
      <w:pPr>
        <w:spacing w:line="360" w:lineRule="auto" w:after="120"/>
      </w:pPr>
      <w:r/>
    </w:p>
    <w:p>
      <w:pPr>
        <w:spacing w:line="360" w:lineRule="auto" w:after="40"/>
      </w:pPr>
      <w:r>
        <w:t>4. A key factor in the independence of an AML audit is that the auditor should:</w:t>
      </w:r>
    </w:p>
    <w:p>
      <w:pPr>
        <w:spacing w:line="360" w:lineRule="auto" w:after="20"/>
        <w:ind w:firstLine="283"/>
      </w:pPr>
      <w:r>
        <w:t>A. Have never worked in previous assignments within the AML/CFT department</w:t>
      </w:r>
    </w:p>
    <w:p>
      <w:pPr>
        <w:spacing w:line="360" w:lineRule="auto" w:after="20"/>
        <w:ind w:firstLine="283"/>
      </w:pPr>
      <w:r>
        <w:t>B. Have no involvement with the organization's AML/CFT compliance staff</w:t>
      </w:r>
    </w:p>
    <w:p>
      <w:pPr>
        <w:spacing w:line="360" w:lineRule="auto" w:after="20"/>
        <w:ind w:firstLine="283"/>
      </w:pPr>
      <w:r>
        <w:t>C. Have been screened by the board of directors before the audit starts</w:t>
      </w:r>
    </w:p>
    <w:p>
      <w:pPr>
        <w:spacing w:line="360" w:lineRule="auto" w:after="20"/>
        <w:ind w:firstLine="283"/>
      </w:pPr>
      <w:r>
        <w:t>D. Be sufficiently trained in AML to be able to provide an independent review</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识别独立审计职能需“足够知识与经验”这一胜任力要素</w:t>
      </w:r>
    </w:p>
    <w:p>
      <w:pPr>
        <w:spacing w:before="120" w:after="40"/>
      </w:pPr>
      <w:r>
        <w:rPr>
          <w:b/>
          <w:sz w:val="21"/>
          <w:shd w:fill="D6E4F0" w:val="clear"/>
        </w:rPr>
        <w:t>核心解析：</w:t>
      </w:r>
    </w:p>
    <w:p>
      <w:pPr>
        <w:spacing w:line="360" w:lineRule="auto" w:after="40"/>
        <w:ind w:firstLine="420"/>
      </w:pPr>
      <w:r>
        <w:t>教材将独立审计列为反洗钱合规计划的第四大支柱</w:t>
      </w:r>
      <w:r>
        <w:rPr>
          <w:sz w:val="15"/>
          <w:vertAlign w:val="superscript"/>
        </w:rPr>
        <w:t>P245</w:t>
      </w:r>
      <w:r>
        <w:t>，并明确规定：独立审计职能必须</w:t>
      </w:r>
      <w:r>
        <w:rPr>
          <w:b/>
        </w:rPr>
        <w:t>具备足够的知识和经验来理解和分析反洗钱计划</w:t>
      </w:r>
      <w:r>
        <w:rPr>
          <w:sz w:val="15"/>
          <w:vertAlign w:val="superscript"/>
        </w:rPr>
        <w:t>P245</w:t>
      </w:r>
      <w:r>
        <w:t>。这里的逻辑是——独立性不仅取决于组织汇报关系上的不受干预，还需要审计员本身胜任这项工作。如果审计员不懂反洗钱，即使汇报线再独立，也无法形成真正独立的判断，因为他只能依赖别人的解释。选项中提到的“接受过充分的反洗钱培训”与教材“足够的知识和经验”直接对应，培训应涵盖内部控制并说明员工在反洗钱计划中的角色</w:t>
      </w:r>
      <w:r>
        <w:rPr>
          <w:sz w:val="15"/>
          <w:vertAlign w:val="superscript"/>
        </w:rPr>
        <w:t>P245</w:t>
      </w:r>
      <w:r>
        <w:t>，这正是审计员获得独立审查能力的基础。</w:t>
      </w:r>
    </w:p>
    <w:p>
      <w:pPr>
        <w:spacing w:before="120" w:after="40"/>
      </w:pPr>
      <w:r>
        <w:rPr>
          <w:b/>
          <w:sz w:val="21"/>
          <w:shd w:fill="D6E4F0" w:val="clear"/>
        </w:rPr>
        <w:t>教材原句：</w:t>
      </w:r>
    </w:p>
    <w:p>
      <w:pPr>
        <w:spacing w:line="360" w:lineRule="auto" w:after="40"/>
        <w:ind w:firstLine="420"/>
      </w:pPr>
      <w:r>
        <w:t>"Independent audit functions must have sufficient knowledge and experience to understand and analyze the AML program."</w:t>
      </w:r>
    </w:p>
    <w:p>
      <w:pPr>
        <w:spacing w:before="120" w:after="40"/>
      </w:pPr>
      <w:r>
        <w:rPr>
          <w:b/>
          <w:sz w:val="21"/>
          <w:shd w:fill="D6E4F0" w:val="clear"/>
        </w:rPr>
        <w:t>A项错误：</w:t>
      </w:r>
    </w:p>
    <w:p>
      <w:pPr>
        <w:spacing w:line="360" w:lineRule="auto" w:after="40"/>
        <w:ind w:firstLine="420"/>
      </w:pPr>
      <w:r>
        <w:t>独立审计的关键在于审计职能独立于被审计的业务活动，而非审计员个人职业生涯中是否曾在AML部门工作过。三道防线模型把独立审计放在第四支柱</w:t>
      </w:r>
      <w:r>
        <w:rPr>
          <w:sz w:val="15"/>
          <w:vertAlign w:val="superscript"/>
        </w:rPr>
        <w:t>P256</w:t>
      </w:r>
      <w:r>
        <w:t>，它要交叉检查第一、第二道防线的有效性</w:t>
      </w:r>
      <w:r>
        <w:rPr>
          <w:sz w:val="15"/>
          <w:vertAlign w:val="superscript"/>
        </w:rPr>
        <w:t>P256</w:t>
      </w:r>
      <w:r>
        <w:t>，这要求审计员理解AML，而不是从未接触过AML。一个曾在AML部门工作过的人恰恰可能具备“足够的知识和经验”，更匹配教材的胜任力要求。</w:t>
      </w:r>
    </w:p>
    <w:p>
      <w:pPr>
        <w:spacing w:before="120" w:after="40"/>
      </w:pPr>
      <w:r>
        <w:rPr>
          <w:b/>
          <w:sz w:val="21"/>
          <w:shd w:fill="D6E4F0" w:val="clear"/>
        </w:rPr>
        <w:t>B项错误：</w:t>
      </w:r>
    </w:p>
    <w:p>
      <w:pPr>
        <w:spacing w:line="360" w:lineRule="auto" w:after="40"/>
        <w:ind w:firstLine="420"/>
      </w:pPr>
      <w:r>
        <w:t>教材明确要求AFC专业人员应与内部审计团队“定期沟通和协作”</w:t>
      </w:r>
      <w:r>
        <w:rPr>
          <w:sz w:val="15"/>
          <w:vertAlign w:val="superscript"/>
        </w:rPr>
        <w:t>P258</w:t>
      </w:r>
      <w:r>
        <w:t>，包括确认审查范围、准备审查材料、审计后制定改进行动计划。独立不等于隔绝——审计员需要与合规人员互动才能获取信息、理解控制环境。题干问的是独立的“关键因素”，教材更强调审计员自身的知识和经验（选项D），而非是否与被审计对象有联系。</w:t>
      </w:r>
    </w:p>
    <w:p>
      <w:pPr>
        <w:spacing w:before="120" w:after="40"/>
      </w:pPr>
      <w:r>
        <w:rPr>
          <w:b/>
          <w:sz w:val="21"/>
          <w:shd w:fill="D6E4F0" w:val="clear"/>
        </w:rPr>
        <w:t>C项错误：</w:t>
      </w:r>
    </w:p>
    <w:p>
      <w:pPr>
        <w:spacing w:line="360" w:lineRule="auto" w:after="40"/>
        <w:ind w:firstLine="420"/>
      </w:pPr>
      <w:r>
        <w:t>独立审计职能可以向审计委员会或董事会报告，以建立独立汇报关系</w:t>
      </w:r>
      <w:r>
        <w:rPr>
          <w:sz w:val="15"/>
          <w:vertAlign w:val="superscript"/>
        </w:rPr>
        <w:t>P256</w:t>
      </w:r>
      <w:r>
        <w:t>，但这不同于在审计前由董事会筛选审计员个人。题干关注审计员能否胜任独立审查，D项所述的充分反洗钱知识和培训更直接。</w:t>
      </w:r>
    </w:p>
    <w:p>
      <w:pPr>
        <w:spacing w:before="120" w:after="40"/>
      </w:pPr>
      <w:r>
        <w:rPr>
          <w:b/>
          <w:sz w:val="21"/>
          <w:shd w:fill="D6E4F0" w:val="clear"/>
        </w:rPr>
        <w:t>易错提醒：</w:t>
      </w:r>
    </w:p>
    <w:p>
      <w:pPr>
        <w:spacing w:line="360" w:lineRule="auto" w:after="40"/>
        <w:ind w:firstLine="420"/>
      </w:pPr>
      <w:r>
        <w:t>独立审计的“独立”指职能独立于被审计的业务条线（不自己审自己），不等于审计员与合规人员“零接触”。教材在P258专门强调AFC人员应与内部审计定期沟通协作——独立性和协作性不矛盾。</w:t>
      </w:r>
    </w:p>
    <w:p>
      <w:pPr>
        <w:spacing w:line="360" w:lineRule="auto" w:after="120"/>
      </w:pPr>
      <w:r/>
    </w:p>
    <w:p>
      <w:pPr>
        <w:spacing w:line="360" w:lineRule="auto" w:after="40"/>
      </w:pPr>
      <w:r>
        <w:t>5. It is important to validate the conceptual soundness of an AML model in order to:</w:t>
      </w:r>
    </w:p>
    <w:p>
      <w:pPr>
        <w:spacing w:line="360" w:lineRule="auto" w:after="20"/>
        <w:ind w:firstLine="283"/>
      </w:pPr>
      <w:r>
        <w:t>A. Verify alignment with regulatory guidance and industry best practices</w:t>
      </w:r>
    </w:p>
    <w:p>
      <w:pPr>
        <w:spacing w:line="360" w:lineRule="auto" w:after="20"/>
        <w:ind w:firstLine="283"/>
      </w:pPr>
      <w:r>
        <w:t>B. Assess whether the model's methodology and assumptions are logical and appropriate for detecting money laundering</w:t>
      </w:r>
    </w:p>
    <w:p>
      <w:pPr>
        <w:spacing w:line="360" w:lineRule="auto" w:after="20"/>
        <w:ind w:firstLine="283"/>
      </w:pPr>
      <w:r>
        <w:t>C. Validate the statistical significance of the model's predictive capabilities</w:t>
      </w:r>
    </w:p>
    <w:p>
      <w:pPr>
        <w:spacing w:line="360" w:lineRule="auto" w:after="20"/>
        <w:ind w:firstLine="283"/>
      </w:pPr>
      <w:r>
        <w:t>D. Demonstrate compatibility with current technological infrastructure</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区分模型概念合理性、统计性能、监管对齐与系统兼容性</w:t>
      </w:r>
    </w:p>
    <w:p>
      <w:pPr>
        <w:spacing w:before="120" w:after="40"/>
      </w:pPr>
      <w:r>
        <w:rPr>
          <w:b/>
          <w:sz w:val="21"/>
          <w:shd w:fill="D6E4F0" w:val="clear"/>
        </w:rPr>
        <w:t>核心解析：</w:t>
      </w:r>
    </w:p>
    <w:p>
      <w:pPr>
        <w:spacing w:line="360" w:lineRule="auto" w:after="40"/>
        <w:ind w:firstLine="420"/>
      </w:pPr>
      <w:r>
        <w:t>概念合理性（conceptual soundness）关注模型的</w:t>
      </w:r>
      <w:r>
        <w:rPr>
          <w:b/>
        </w:rPr>
        <w:t>设计逻辑是否与检测目标相符</w:t>
      </w:r>
      <w:r>
        <w:t>，而不只是看统计结果或系统能否接入。模型验证不足可能引发决策错误</w:t>
      </w:r>
      <w:r>
        <w:rPr>
          <w:sz w:val="15"/>
          <w:vertAlign w:val="superscript"/>
        </w:rPr>
        <w:t>P243</w:t>
      </w:r>
      <w:r>
        <w:t>；模型风险管理职能负责AFC模型的验证与治理，并通过评估模型有效性确保准确性和监管合规性</w:t>
      </w:r>
      <w:r>
        <w:rPr>
          <w:sz w:val="15"/>
          <w:vertAlign w:val="superscript"/>
        </w:rPr>
        <w:t>P251</w:t>
      </w:r>
      <w:r>
        <w:t>。在交易监控治理中，机构还应选择合适的场景并应用适当的方法论</w:t>
      </w:r>
      <w:r>
        <w:rPr>
          <w:sz w:val="15"/>
          <w:vertAlign w:val="superscript"/>
        </w:rPr>
        <w:t>P449</w:t>
      </w:r>
      <w:r>
        <w:t>。结合这些要求，验证AML模型的概念合理性，主要是检查其方法论和基础假设是否合乎逻辑，以及是否适合用于检测洗钱活动，因此B项与题干所问的验证目标最直接匹配。</w:t>
      </w:r>
    </w:p>
    <w:p>
      <w:pPr>
        <w:spacing w:before="120" w:after="40"/>
      </w:pPr>
      <w:r>
        <w:rPr>
          <w:b/>
          <w:sz w:val="21"/>
          <w:shd w:fill="D6E4F0" w:val="clear"/>
        </w:rPr>
        <w:t>A项错误：</w:t>
      </w:r>
    </w:p>
    <w:p>
      <w:pPr>
        <w:spacing w:line="360" w:lineRule="auto" w:after="40"/>
        <w:ind w:firstLine="420"/>
      </w:pPr>
      <w:r>
        <w:t>核实是否符合监管指导方针和行业最佳实践，属于合规与治理对齐维度。它可能是模型治理的一部分，但不如B项直接回答模型的方法论和基础假设是否合理。</w:t>
      </w:r>
    </w:p>
    <w:p>
      <w:pPr>
        <w:spacing w:before="120" w:after="40"/>
      </w:pPr>
      <w:r>
        <w:rPr>
          <w:b/>
          <w:sz w:val="21"/>
          <w:shd w:fill="D6E4F0" w:val="clear"/>
        </w:rPr>
        <w:t>C项错误：</w:t>
      </w:r>
    </w:p>
    <w:p>
      <w:pPr>
        <w:spacing w:line="360" w:lineRule="auto" w:after="40"/>
        <w:ind w:firstLine="420"/>
      </w:pPr>
      <w:r>
        <w:t>统计显著性属于预测性能或实证结果检验。测试、验证和调优AI模型有助于确保准确性</w:t>
      </w:r>
      <w:r>
        <w:rPr>
          <w:sz w:val="15"/>
          <w:vertAlign w:val="superscript"/>
        </w:rPr>
        <w:t>P386</w:t>
      </w:r>
      <w:r>
        <w:t>，但统计性能不等同于模型概念合理性；C项关注的是结果表现，而不是模型设计逻辑。</w:t>
      </w:r>
    </w:p>
    <w:p>
      <w:pPr>
        <w:spacing w:before="120" w:after="40"/>
      </w:pPr>
      <w:r>
        <w:rPr>
          <w:b/>
          <w:sz w:val="21"/>
          <w:shd w:fill="D6E4F0" w:val="clear"/>
        </w:rPr>
        <w:t>D项错误：</w:t>
      </w:r>
    </w:p>
    <w:p>
      <w:pPr>
        <w:spacing w:line="360" w:lineRule="auto" w:after="40"/>
        <w:ind w:firstLine="420"/>
      </w:pPr>
      <w:r>
        <w:t>与当前技术基础设施兼容属于系统实施和集成问题。教材将“与遗留技术和核心银行系统兼容”作为技术实施事项</w:t>
      </w:r>
      <w:r>
        <w:rPr>
          <w:sz w:val="15"/>
          <w:vertAlign w:val="superscript"/>
        </w:rPr>
        <w:t>P378</w:t>
      </w:r>
      <w:r>
        <w:t>，它不能直接说明模型的方法论和假设是否适合洗钱检测。</w:t>
      </w:r>
    </w:p>
    <w:p>
      <w:pPr>
        <w:spacing w:before="120" w:after="40"/>
      </w:pPr>
      <w:r>
        <w:rPr>
          <w:b/>
          <w:sz w:val="21"/>
          <w:shd w:fill="D6E4F0" w:val="clear"/>
        </w:rPr>
        <w:t>易错提醒：</w:t>
      </w:r>
    </w:p>
    <w:p>
      <w:pPr>
        <w:spacing w:line="360" w:lineRule="auto" w:after="40"/>
        <w:ind w:firstLine="420"/>
      </w:pPr>
      <w:r>
        <w:t>“方法论和假设是否适合检测洗钱”是概念层面的判断</w:t>
      </w:r>
      <w:r>
        <w:rPr>
          <w:sz w:val="15"/>
          <w:vertAlign w:val="superscript"/>
        </w:rPr>
        <w:t>P449</w:t>
      </w:r>
      <w:r>
        <w:t>；“预测能力是否具有统计显著性”是统计性能判断；“是否符合监管要求”是合规治理判断；“能否接入现有技术环境”是实施兼容性判断</w:t>
      </w:r>
      <w:r>
        <w:rPr>
          <w:sz w:val="15"/>
          <w:vertAlign w:val="superscript"/>
        </w:rPr>
        <w:t>P378</w:t>
      </w:r>
      <w:r>
        <w:t>。四者属于不同的验证维度。</w:t>
      </w:r>
    </w:p>
    <w:p>
      <w:pPr>
        <w:spacing w:line="360" w:lineRule="auto" w:after="120"/>
      </w:pPr>
      <w:r/>
    </w:p>
    <w:p>
      <w:pPr>
        <w:spacing w:line="360" w:lineRule="auto" w:after="40"/>
      </w:pPr>
      <w:r>
        <w:t>6. One of the basic elements of an effective AML/CFT compliance program is:</w:t>
      </w:r>
    </w:p>
    <w:p>
      <w:pPr>
        <w:spacing w:line="360" w:lineRule="auto" w:after="20"/>
        <w:ind w:firstLine="283"/>
      </w:pPr>
      <w:r>
        <w:t>A. A system of enterprise risk management</w:t>
      </w:r>
    </w:p>
    <w:p>
      <w:pPr>
        <w:spacing w:line="360" w:lineRule="auto" w:after="20"/>
        <w:ind w:firstLine="283"/>
      </w:pPr>
      <w:r>
        <w:t>B. An artificial intelligence-based transaction monitoring system</w:t>
      </w:r>
    </w:p>
    <w:p>
      <w:pPr>
        <w:spacing w:line="360" w:lineRule="auto" w:after="20"/>
        <w:ind w:firstLine="283"/>
      </w:pPr>
      <w:r>
        <w:t>C. An independent and skilled audit function</w:t>
      </w:r>
    </w:p>
    <w:p>
      <w:pPr>
        <w:spacing w:line="360" w:lineRule="auto" w:after="20"/>
        <w:ind w:firstLine="283"/>
      </w:pPr>
      <w:r>
        <w:t>D. An artificial intelligence-based enhanced due diligence system</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识别独立审计作为合规计划的基本要素</w:t>
      </w:r>
    </w:p>
    <w:p>
      <w:pPr>
        <w:spacing w:before="120" w:after="40"/>
      </w:pPr>
      <w:r>
        <w:rPr>
          <w:b/>
          <w:sz w:val="21"/>
          <w:shd w:fill="D6E4F0" w:val="clear"/>
        </w:rPr>
        <w:t>核心解析：</w:t>
      </w:r>
    </w:p>
    <w:p>
      <w:pPr>
        <w:spacing w:line="360" w:lineRule="auto" w:after="40"/>
        <w:ind w:firstLine="420"/>
      </w:pPr>
      <w:r>
        <w:t>金融犯罪防控项目的关键要素包括风险偏好声明、风险容忍度、政策与程序、控制措施以及独立测试</w:t>
      </w:r>
      <w:r>
        <w:rPr>
          <w:sz w:val="15"/>
          <w:vertAlign w:val="superscript"/>
        </w:rPr>
        <w:t>P243</w:t>
      </w:r>
      <w:r>
        <w:t>；独立测试可由内部审计职能或专业第三方实施，用于评估项目有效性及政策程序的落实情况</w:t>
      </w:r>
      <w:r>
        <w:rPr>
          <w:sz w:val="15"/>
          <w:vertAlign w:val="superscript"/>
        </w:rPr>
        <w:t>P244</w:t>
      </w:r>
      <w:r>
        <w:t>。在反洗钱计划的支柱框架中，第四支柱是</w:t>
      </w:r>
      <w:r>
        <w:rPr>
          <w:b/>
        </w:rPr>
        <w:t>独立审计职能，负责测试内部反洗钱政策是否充分、有效</w:t>
      </w:r>
      <w:r>
        <w:rPr>
          <w:sz w:val="15"/>
          <w:vertAlign w:val="superscript"/>
        </w:rPr>
        <w:t>P245</w:t>
      </w:r>
      <w:r>
        <w:t>；独立审计职能还必须具备足够的知识和经验，以理解并分析反洗钱计划</w:t>
      </w:r>
      <w:r>
        <w:rPr>
          <w:sz w:val="15"/>
          <w:vertAlign w:val="superscript"/>
        </w:rPr>
        <w:t>P245</w:t>
      </w:r>
      <w:r>
        <w:t>。因此，C项同时对应“独立”（independent）和“专业”（skilled）两项要求，是题干所问的基本要素。</w:t>
      </w:r>
    </w:p>
    <w:p>
      <w:pPr>
        <w:spacing w:before="120" w:after="40"/>
      </w:pPr>
      <w:r>
        <w:rPr>
          <w:b/>
          <w:sz w:val="21"/>
          <w:shd w:fill="D6E4F0" w:val="clear"/>
        </w:rPr>
        <w:t>教材原句：</w:t>
      </w:r>
    </w:p>
    <w:p>
      <w:pPr>
        <w:spacing w:line="360" w:lineRule="auto" w:after="40"/>
        <w:ind w:firstLine="420"/>
      </w:pPr>
      <w:r>
        <w:t>"The fourth pillar is an independent audit function that tests whether internal AML policies are adequate and effective."</w:t>
      </w:r>
    </w:p>
    <w:p>
      <w:pPr>
        <w:spacing w:before="120" w:after="40"/>
      </w:pPr>
      <w:r>
        <w:rPr>
          <w:b/>
          <w:sz w:val="21"/>
          <w:shd w:fill="D6E4F0" w:val="clear"/>
        </w:rPr>
        <w:t>A项错误：</w:t>
      </w:r>
    </w:p>
    <w:p>
      <w:pPr>
        <w:spacing w:line="360" w:lineRule="auto" w:after="40"/>
        <w:ind w:firstLine="420"/>
      </w:pPr>
      <w:r>
        <w:t>企业风险管理体系可以覆盖更广泛的组织风险，但不等同于教材列出的金融犯罪防控项目关键要素</w:t>
      </w:r>
      <w:r>
        <w:rPr>
          <w:sz w:val="15"/>
          <w:vertAlign w:val="superscript"/>
        </w:rPr>
        <w:t>P243</w:t>
      </w:r>
      <w:r>
        <w:t>。题干所问的是反洗钱/反恐怖融资合规计划的基本要素，C项与教材中的“独立测试”和“独立审计职能”对应得更直接。</w:t>
      </w:r>
    </w:p>
    <w:p>
      <w:pPr>
        <w:spacing w:before="120" w:after="40"/>
      </w:pPr>
      <w:r>
        <w:rPr>
          <w:b/>
          <w:sz w:val="21"/>
          <w:shd w:fill="D6E4F0" w:val="clear"/>
        </w:rPr>
        <w:t>B项错误：</w:t>
      </w:r>
    </w:p>
    <w:p>
      <w:pPr>
        <w:spacing w:line="360" w:lineRule="auto" w:after="40"/>
        <w:ind w:firstLine="420"/>
      </w:pPr>
      <w:r>
        <w:t>持续交易监控是机构识别和报告可疑交易的一项要求</w:t>
      </w:r>
      <w:r>
        <w:rPr>
          <w:sz w:val="15"/>
          <w:vertAlign w:val="superscript"/>
        </w:rPr>
        <w:t>P245</w:t>
      </w:r>
      <w:r>
        <w:t>，但交易监控并不以采用人工智能为必要条件。“基于人工智能的交易监控系统”是一种具体技术实现方式，而C所述独立审计职能才是合规计划的基本支柱。</w:t>
      </w:r>
    </w:p>
    <w:p>
      <w:pPr>
        <w:spacing w:before="120" w:after="40"/>
      </w:pPr>
      <w:r>
        <w:rPr>
          <w:b/>
          <w:sz w:val="21"/>
          <w:shd w:fill="D6E4F0" w:val="clear"/>
        </w:rPr>
        <w:t>D项错误：</w:t>
      </w:r>
    </w:p>
    <w:p>
      <w:pPr>
        <w:spacing w:line="360" w:lineRule="auto" w:after="40"/>
        <w:ind w:firstLine="420"/>
      </w:pPr>
      <w:r>
        <w:t>基于人工智能的强化尽职调查系统描述的是一种具体技术实施方式，而题干询问的是合规计划的基本构成。教材直接列出的基本要素是独立测试，并进一步对应独立审计职能（P243-P245），因此C项匹配度更高。</w:t>
      </w:r>
    </w:p>
    <w:p>
      <w:pPr>
        <w:spacing w:before="120" w:after="40"/>
      </w:pPr>
      <w:r>
        <w:rPr>
          <w:b/>
          <w:sz w:val="21"/>
          <w:shd w:fill="D6E4F0" w:val="clear"/>
        </w:rPr>
        <w:t>易错提醒：</w:t>
      </w:r>
    </w:p>
    <w:p>
      <w:pPr>
        <w:spacing w:line="360" w:lineRule="auto" w:after="40"/>
        <w:ind w:firstLine="420"/>
      </w:pPr>
      <w:r>
        <w:t>“第四支柱”和“第三道防线”属于两个不同框架。独立审计职能是反洗钱计划的第四支柱</w:t>
      </w:r>
      <w:r>
        <w:rPr>
          <w:sz w:val="15"/>
          <w:vertAlign w:val="superscript"/>
        </w:rPr>
        <w:t>P245</w:t>
      </w:r>
      <w:r>
        <w:t>；在三道防线模型中，内部审计则是第三道防线，独立审查前两道防线的风险管理和控制有效性</w:t>
      </w:r>
      <w:r>
        <w:rPr>
          <w:sz w:val="15"/>
          <w:vertAlign w:val="superscript"/>
        </w:rPr>
        <w:t>P246</w:t>
      </w:r>
      <w:r>
        <w:t>。不能把“第四支柱”误写成“第四道防线”。</w:t>
      </w:r>
    </w:p>
    <w:p>
      <w:pPr>
        <w:spacing w:line="360" w:lineRule="auto" w:after="120"/>
      </w:pPr>
      <w:r/>
    </w:p>
    <w:p>
      <w:pPr>
        <w:spacing w:line="360" w:lineRule="auto" w:after="40"/>
      </w:pPr>
      <w:r>
        <w:t>7. An organization is developing a comprehensive anti-money laundering (AML) framework. Which of the following statements best describes the relationship between AML policies and procedures?</w:t>
      </w:r>
    </w:p>
    <w:p>
      <w:pPr>
        <w:spacing w:line="360" w:lineRule="auto" w:after="20"/>
        <w:ind w:firstLine="283"/>
      </w:pPr>
      <w:r>
        <w:t>A. Policies are detailed instructions for specific processes. Procedures are an overarching framework. Neither policies nor procedures are mandatory for knowledge and adherence.</w:t>
      </w:r>
    </w:p>
    <w:p>
      <w:pPr>
        <w:spacing w:line="360" w:lineRule="auto" w:after="20"/>
        <w:ind w:firstLine="283"/>
      </w:pPr>
      <w:r>
        <w:t>B. Policies are broad guidelines. Procedures are detailed instructions for specific processes. Only procedures are mandatory for knowledge and adherence.</w:t>
      </w:r>
    </w:p>
    <w:p>
      <w:pPr>
        <w:spacing w:line="360" w:lineRule="auto" w:after="20"/>
        <w:ind w:firstLine="283"/>
      </w:pPr>
      <w:r>
        <w:t>C. Policies are detailed instructions for specific processes. Procedures are an overarching framework. Both policies and procedures are mandatory for knowledge and adherence.</w:t>
      </w:r>
    </w:p>
    <w:p>
      <w:pPr>
        <w:spacing w:line="360" w:lineRule="auto" w:after="20"/>
        <w:ind w:firstLine="283"/>
      </w:pPr>
      <w:r>
        <w:t>D. Policies set out the organization's principles and influence the development of procedures. Procedures are detailed instructions for specific processes.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区分AML政策与程序的定义及层级关系</w:t>
      </w:r>
    </w:p>
    <w:p>
      <w:pPr>
        <w:spacing w:before="120" w:after="40"/>
      </w:pPr>
      <w:r>
        <w:rPr>
          <w:b/>
          <w:sz w:val="21"/>
          <w:shd w:fill="D6E4F0" w:val="clear"/>
        </w:rPr>
        <w:t>核心解析：</w:t>
      </w:r>
    </w:p>
    <w:p>
      <w:pPr>
        <w:spacing w:line="360" w:lineRule="auto" w:after="40"/>
        <w:ind w:firstLine="420"/>
      </w:pPr>
      <w:r>
        <w:t>在AML框架中，政策与程序是两个不同层级的概念。政策处于上层，负责确立组织的</w:t>
      </w:r>
      <w:r>
        <w:rPr>
          <w:b/>
        </w:rPr>
        <w:t>原则、目标和监管义务</w:t>
      </w:r>
      <w:r>
        <w:t>——它解释法律法规，并将法律要求转化为适用于组织的具体规定</w:t>
      </w:r>
      <w:r>
        <w:rPr>
          <w:sz w:val="15"/>
          <w:vertAlign w:val="superscript"/>
        </w:rPr>
        <w:t>P244、P291</w:t>
      </w:r>
      <w:r>
        <w:t>；程序则处于执行层，是</w:t>
      </w:r>
      <w:r>
        <w:rPr>
          <w:b/>
        </w:rPr>
        <w:t>实施政策的逐步操作指南</w:t>
      </w:r>
      <w:r>
        <w:t>，提供详细的分步说明，确保政策在不同业务单元和司法管辖区被一致应用</w:t>
      </w:r>
      <w:r>
        <w:rPr>
          <w:sz w:val="15"/>
          <w:vertAlign w:val="superscript"/>
        </w:rPr>
        <w:t>P244、P291</w:t>
      </w:r>
      <w:r>
        <w:t>。题干中机构正在制定“全面的反洗钱框架”，考查的正是政策与程序的区分。选项D准确抓住了这个关系：政策规定原则并影响程序的制定（上层→下层），程序则是针对具体流程的详细说明（执行层）。这与教材对两者的定义完全吻合。</w:t>
      </w:r>
    </w:p>
    <w:p>
      <w:pPr>
        <w:spacing w:before="120" w:after="40"/>
      </w:pPr>
      <w:r>
        <w:rPr>
          <w:b/>
          <w:sz w:val="21"/>
          <w:shd w:fill="D6E4F0" w:val="clear"/>
        </w:rPr>
        <w:t>教材原句：</w:t>
      </w:r>
    </w:p>
    <w:p>
      <w:pPr>
        <w:spacing w:line="360" w:lineRule="auto" w:after="40"/>
        <w:ind w:firstLine="420"/>
      </w:pPr>
      <w:r>
        <w:t>"Policies interpret laws and regulations, and provide the framework while procedures are the step-by-step instructions on how to implement the policies."</w:t>
      </w:r>
    </w:p>
    <w:p>
      <w:pPr>
        <w:spacing w:before="120" w:after="40"/>
      </w:pPr>
      <w:r>
        <w:rPr>
          <w:b/>
          <w:sz w:val="21"/>
          <w:shd w:fill="D6E4F0" w:val="clear"/>
        </w:rPr>
        <w:t>A项错误：</w:t>
      </w:r>
    </w:p>
    <w:p>
      <w:pPr>
        <w:spacing w:line="360" w:lineRule="auto" w:after="40"/>
        <w:ind w:firstLine="420"/>
      </w:pPr>
      <w:r>
        <w:t>选项A将政策与程序的定义完全颠倒——实则政策是框架而非详细说明，程序是详细说明而非框架</w:t>
      </w:r>
      <w:r>
        <w:rPr>
          <w:sz w:val="15"/>
          <w:vertAlign w:val="superscript"/>
        </w:rPr>
        <w:t>P244、P291</w:t>
      </w:r>
      <w:r>
        <w:t>。同时声称两者都非强制性，这与教材要求“政策和程序应持续对所有员工开放可访问”以及持续培训包括政策与程序的规定不符</w:t>
      </w:r>
      <w:r>
        <w:rPr>
          <w:sz w:val="15"/>
          <w:vertAlign w:val="superscript"/>
        </w:rPr>
        <w:t>P244</w:t>
      </w:r>
      <w:r>
        <w:t>。题干要求的是对两者关系的准确描述，D项的定义及层级关系更直接匹配。</w:t>
      </w:r>
    </w:p>
    <w:p>
      <w:pPr>
        <w:spacing w:before="120" w:after="40"/>
      </w:pPr>
      <w:r>
        <w:rPr>
          <w:b/>
          <w:sz w:val="21"/>
          <w:shd w:fill="D6E4F0" w:val="clear"/>
        </w:rPr>
        <w:t>B项错误：</w:t>
      </w:r>
    </w:p>
    <w:p>
      <w:pPr>
        <w:spacing w:line="360" w:lineRule="auto" w:after="40"/>
        <w:ind w:firstLine="420"/>
      </w:pPr>
      <w:r>
        <w:t>选项B前半句对政策的描述（宽泛的指导方针）接近教材定义，但对强制性的判断存在偏差——后半句称“只有程序是必须了解并遵守的”，而教材明确持续员工培训同时涵盖AML政策和程序，且政策须持续对全员可访问</w:t>
      </w:r>
      <w:r>
        <w:rPr>
          <w:sz w:val="15"/>
          <w:vertAlign w:val="superscript"/>
        </w:rPr>
        <w:t>P244</w:t>
      </w:r>
      <w:r>
        <w:t>，二者在了解与遵守的要求上并无此等差别。D项在定义准确性上更优。</w:t>
      </w:r>
    </w:p>
    <w:p>
      <w:pPr>
        <w:spacing w:before="120" w:after="40"/>
      </w:pPr>
      <w:r>
        <w:rPr>
          <w:b/>
          <w:sz w:val="21"/>
          <w:shd w:fill="D6E4F0" w:val="clear"/>
        </w:rPr>
        <w:t>C项错误：</w:t>
      </w:r>
    </w:p>
    <w:p>
      <w:pPr>
        <w:spacing w:line="360" w:lineRule="auto" w:after="40"/>
        <w:ind w:firstLine="420"/>
      </w:pPr>
      <w:r>
        <w:t>选项C同样将政策与程序的定义颠倒——教材反复确认政策是框架/原则的载体，程序才是逐步的详细说明</w:t>
      </w:r>
      <w:r>
        <w:rPr>
          <w:sz w:val="15"/>
          <w:vertAlign w:val="superscript"/>
        </w:rPr>
        <w:t>P244、P291</w:t>
      </w:r>
      <w:r>
        <w:t>。虽然“都必须了解并遵守”这一表述的方向正确，但定义层面的根本错误使其匹配度远低于D项。</w:t>
      </w:r>
    </w:p>
    <w:p>
      <w:pPr>
        <w:spacing w:before="120" w:after="40"/>
      </w:pPr>
      <w:r>
        <w:rPr>
          <w:b/>
          <w:sz w:val="21"/>
          <w:shd w:fill="D6E4F0" w:val="clear"/>
        </w:rPr>
        <w:t>易错提醒：</w:t>
      </w:r>
    </w:p>
    <w:p>
      <w:pPr>
        <w:spacing w:line="360" w:lineRule="auto" w:after="40"/>
        <w:ind w:firstLine="420"/>
      </w:pPr>
      <w:r>
        <w:t>政策在上层，规定原则和框架；程序在执行层，提供具体步骤和操作指南</w:t>
      </w:r>
      <w:r>
        <w:rPr>
          <w:sz w:val="15"/>
          <w:vertAlign w:val="superscript"/>
        </w:rPr>
        <w:t>P244、P291</w:t>
      </w:r>
      <w:r>
        <w:t>。可以将二者分别理解为组织的“宪法”与“操作手册”。选项A和C都颠倒了两者的层级和功能。</w:t>
      </w:r>
    </w:p>
    <w:p>
      <w:pPr>
        <w:spacing w:line="360" w:lineRule="auto" w:after="120"/>
      </w:pPr>
      <w:r/>
    </w:p>
    <w:p>
      <w:pPr>
        <w:spacing w:line="360" w:lineRule="auto" w:after="40"/>
      </w:pPr>
      <w:r>
        <w:t>8. Which of the following is an important factor to consider when setting up an anti-financial crime (AFC) compliance program governance structure?</w:t>
      </w:r>
    </w:p>
    <w:p>
      <w:pPr>
        <w:spacing w:line="360" w:lineRule="auto" w:after="20"/>
        <w:ind w:firstLine="283"/>
      </w:pPr>
      <w:r>
        <w:t>A. Ensuring the structure is reviewed by an outside auditor or consultant</w:t>
      </w:r>
    </w:p>
    <w:p>
      <w:pPr>
        <w:spacing w:line="360" w:lineRule="auto" w:after="20"/>
        <w:ind w:firstLine="283"/>
      </w:pPr>
      <w:r>
        <w:t>B. Establishing a system of internal controls commensurate with the institution's size and complexity</w:t>
      </w:r>
    </w:p>
    <w:p>
      <w:pPr>
        <w:spacing w:line="360" w:lineRule="auto" w:after="20"/>
        <w:ind w:firstLine="283"/>
      </w:pPr>
      <w:r>
        <w:t>C. Designating a qualified board of directors to monitor day-to-day compliance</w:t>
      </w:r>
    </w:p>
    <w:p>
      <w:pPr>
        <w:spacing w:line="360" w:lineRule="auto" w:after="20"/>
        <w:ind w:firstLine="283"/>
      </w:pPr>
      <w:r>
        <w:t>D. Establishing clear roles and responsibilities for AFC risk escalations and issues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治理结构中的职责分配与问题升级机制</w:t>
      </w:r>
    </w:p>
    <w:p>
      <w:pPr>
        <w:spacing w:before="120" w:after="40"/>
      </w:pPr>
      <w:r>
        <w:rPr>
          <w:b/>
          <w:sz w:val="21"/>
          <w:shd w:fill="D6E4F0" w:val="clear"/>
        </w:rPr>
        <w:t>核心解析：</w:t>
      </w:r>
    </w:p>
    <w:p>
      <w:pPr>
        <w:spacing w:line="360" w:lineRule="auto" w:after="40"/>
        <w:ind w:firstLine="420"/>
      </w:pPr>
      <w:r>
        <w:t>稳健的治理结构是有效AFC计划的基础，</w:t>
      </w:r>
      <w:r>
        <w:rPr>
          <w:b/>
        </w:rPr>
        <w:t>明确角色与职责、强化问责以及有效监督</w:t>
      </w:r>
      <w:r>
        <w:t>都是其关键作用</w:t>
      </w:r>
      <w:r>
        <w:rPr>
          <w:sz w:val="15"/>
          <w:vertAlign w:val="superscript"/>
        </w:rPr>
        <w:t>P260</w:t>
      </w:r>
      <w:r>
        <w:t>。内部政策和控制必须明确从高级管理人员到客户准入人员的反洗钱职责，并建立将合规问题上报高级管理层和董事会的</w:t>
      </w:r>
      <w:r>
        <w:rPr>
          <w:b/>
        </w:rPr>
        <w:t>升级程序</w:t>
      </w:r>
      <w:r>
        <w:rPr>
          <w:sz w:val="15"/>
          <w:vertAlign w:val="superscript"/>
        </w:rPr>
        <w:t>P244</w:t>
      </w:r>
      <w:r>
        <w:t>；治理委员会则通过战略监督、决策权和问责机制支持升级、审查和处理流程</w:t>
      </w:r>
      <w:r>
        <w:rPr>
          <w:sz w:val="15"/>
          <w:vertAlign w:val="superscript"/>
        </w:rPr>
        <w:t>P294</w:t>
      </w:r>
      <w:r>
        <w:t>。因此，D同时覆盖职责分配和问题升级路径，与题干最直接对应。RACI矩阵还可用于明确谁负责、谁问责、谁应被咨询或知会，帮助落实上述职责划分</w:t>
      </w:r>
      <w:r>
        <w:rPr>
          <w:sz w:val="15"/>
          <w:vertAlign w:val="superscript"/>
        </w:rPr>
        <w:t>P262</w:t>
      </w:r>
      <w:r>
        <w:t>。</w:t>
      </w:r>
    </w:p>
    <w:p>
      <w:pPr>
        <w:spacing w:before="120" w:after="40"/>
      </w:pPr>
      <w:r>
        <w:rPr>
          <w:b/>
          <w:sz w:val="21"/>
          <w:shd w:fill="D6E4F0" w:val="clear"/>
        </w:rPr>
        <w:t>教材原句：</w:t>
      </w:r>
    </w:p>
    <w:p>
      <w:pPr>
        <w:spacing w:line="360" w:lineRule="auto" w:after="40"/>
        <w:ind w:firstLine="420"/>
      </w:pPr>
      <w:r>
        <w:t>"AML policies should also include escalation procedures for escalating concerns to senior management and the board of directors."</w:t>
      </w:r>
      <w:r>
        <w:rPr>
          <w:sz w:val="15"/>
          <w:vertAlign w:val="superscript"/>
        </w:rPr>
        <w:t>P244</w:t>
      </w:r>
    </w:p>
    <w:p>
      <w:pPr>
        <w:spacing w:before="120" w:after="40"/>
      </w:pPr>
      <w:r>
        <w:rPr>
          <w:b/>
          <w:sz w:val="21"/>
          <w:shd w:fill="D6E4F0" w:val="clear"/>
        </w:rPr>
        <w:t>A项错误：</w:t>
      </w:r>
    </w:p>
    <w:p>
      <w:pPr>
        <w:spacing w:line="360" w:lineRule="auto" w:after="40"/>
        <w:ind w:firstLine="420"/>
      </w:pPr>
      <w:r>
        <w:t>教材只在小型机构缺乏内部审计资源，或存在技能、资源限制时，指出外部审计师可能执行独立审计职能</w:t>
      </w:r>
      <w:r>
        <w:rPr>
          <w:sz w:val="15"/>
          <w:vertAlign w:val="superscript"/>
        </w:rPr>
        <w:t>P257</w:t>
      </w:r>
      <w:r>
        <w:t>。这是一种特定条件下的替代安排，并非所有机构建立治理结构时都必须由外部审计员或顾问审查；相比之下，职责和升级路径属于普遍的治理设计要素。</w:t>
      </w:r>
    </w:p>
    <w:p>
      <w:pPr>
        <w:spacing w:before="120" w:after="40"/>
      </w:pPr>
      <w:r>
        <w:rPr>
          <w:b/>
          <w:sz w:val="21"/>
          <w:shd w:fill="D6E4F0" w:val="clear"/>
        </w:rPr>
        <w:t>B项错误：</w:t>
      </w:r>
    </w:p>
    <w:p>
      <w:pPr>
        <w:spacing w:line="360" w:lineRule="auto" w:after="40"/>
        <w:ind w:firstLine="420"/>
      </w:pPr>
      <w:r>
        <w:t>内部控制体系确实是有效反洗钱计划的重要组成部分，控制措施也应与组织风险状况相匹配</w:t>
      </w:r>
      <w:r>
        <w:rPr>
          <w:sz w:val="15"/>
          <w:vertAlign w:val="superscript"/>
        </w:rPr>
        <w:t>P244</w:t>
      </w:r>
      <w:r>
        <w:t>。但B侧重整个合规计划的控制体系设计，题干专门问“治理结构”，D所涉及的角色、问责和升级链条与治理结构的匹配更直接。不能据此理解为内部控制不重要，而应比较四个选项与题干限定范围的贴合程度。</w:t>
      </w:r>
    </w:p>
    <w:p>
      <w:pPr>
        <w:spacing w:before="120" w:after="40"/>
      </w:pPr>
      <w:r>
        <w:rPr>
          <w:b/>
          <w:sz w:val="21"/>
          <w:shd w:fill="D6E4F0" w:val="clear"/>
        </w:rPr>
        <w:t>C项错误：</w:t>
      </w:r>
    </w:p>
    <w:p>
      <w:pPr>
        <w:spacing w:line="360" w:lineRule="auto" w:after="40"/>
        <w:ind w:firstLine="420"/>
      </w:pPr>
      <w:r>
        <w:t>董事会负责提供战略方向并对AFC计划有效性承担最终责任，而高级管理层通过风险管理委员会监控AFC政策和法规的执行情况</w:t>
      </w:r>
      <w:r>
        <w:rPr>
          <w:sz w:val="15"/>
          <w:vertAlign w:val="superscript"/>
        </w:rPr>
        <w:t>P260、P264</w:t>
      </w:r>
      <w:r>
        <w:t>。选项C将董事会的战略监督延伸为“日常合规”管理，混淆了董事会与高级管理层的职责层级。</w:t>
      </w:r>
    </w:p>
    <w:p>
      <w:pPr>
        <w:spacing w:before="120" w:after="40"/>
      </w:pPr>
      <w:r>
        <w:rPr>
          <w:b/>
          <w:sz w:val="21"/>
          <w:shd w:fill="D6E4F0" w:val="clear"/>
        </w:rPr>
        <w:t>易错提醒：</w:t>
      </w:r>
    </w:p>
    <w:p>
      <w:pPr>
        <w:spacing w:line="360" w:lineRule="auto" w:after="40"/>
        <w:ind w:firstLine="420"/>
      </w:pPr>
      <w:r>
        <w:t>“合规计划的重要组成部分”不等于“治理结构最直接的设计要素”。内部控制回答如何控制风险，治理结构则回答谁负责、谁问责、谁拥有决策权，以及问题应向哪里升级</w:t>
      </w:r>
      <w:r>
        <w:rPr>
          <w:sz w:val="15"/>
          <w:vertAlign w:val="superscript"/>
        </w:rPr>
        <w:t>P244、P260、P294</w:t>
      </w:r>
      <w:r>
        <w:t>。还要区分董事会的战略监督与高级管理层的日常监控，不能因董事会承担最终责任，就把日常合规管理也归于董事会</w:t>
      </w:r>
      <w:r>
        <w:rPr>
          <w:sz w:val="15"/>
          <w:vertAlign w:val="superscript"/>
        </w:rPr>
        <w:t>P260、P264</w:t>
      </w:r>
      <w:r>
        <w:t>。</w:t>
      </w:r>
    </w:p>
    <w:p>
      <w:pPr>
        <w:spacing w:line="360" w:lineRule="auto" w:after="120"/>
      </w:pPr>
      <w:r/>
    </w:p>
    <w:p>
      <w:pPr>
        <w:spacing w:line="360" w:lineRule="auto" w:after="40"/>
      </w:pPr>
      <w:r>
        <w:t>9. What key element contributes to the effectiveness of AML training programs?</w:t>
      </w:r>
    </w:p>
    <w:p>
      <w:pPr>
        <w:spacing w:line="360" w:lineRule="auto" w:after="20"/>
        <w:ind w:firstLine="283"/>
      </w:pPr>
      <w:r>
        <w:t>A. In-person training sessions</w:t>
      </w:r>
    </w:p>
    <w:p>
      <w:pPr>
        <w:spacing w:line="360" w:lineRule="auto" w:after="20"/>
        <w:ind w:firstLine="283"/>
      </w:pPr>
      <w:r>
        <w:t>B. Comprehensive curriculum delivered by senior management</w:t>
      </w:r>
    </w:p>
    <w:p>
      <w:pPr>
        <w:spacing w:line="360" w:lineRule="auto" w:after="20"/>
        <w:ind w:firstLine="283"/>
      </w:pPr>
      <w:r>
        <w:t>C. Comprehensive content with engaging delivery methods</w:t>
      </w:r>
    </w:p>
    <w:p>
      <w:pPr>
        <w:spacing w:line="360" w:lineRule="auto" w:after="20"/>
        <w:ind w:firstLine="283"/>
      </w:pPr>
      <w:r>
        <w:t>D. Generalized content designed to apply to a broad audience</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有效反洗钱培训的内容覆盖、针对性与履职效果</w:t>
      </w:r>
    </w:p>
    <w:p>
      <w:pPr>
        <w:spacing w:before="120" w:after="40"/>
      </w:pPr>
      <w:r>
        <w:rPr>
          <w:b/>
          <w:sz w:val="21"/>
          <w:shd w:fill="D6E4F0" w:val="clear"/>
        </w:rPr>
        <w:t>核心解析：</w:t>
      </w:r>
    </w:p>
    <w:p>
      <w:pPr>
        <w:spacing w:line="360" w:lineRule="auto" w:after="40"/>
        <w:ind w:firstLine="420"/>
      </w:pPr>
      <w:r>
        <w:t>教材对反洗钱培训提出了内容、针对性和履职效果三个层面的要求。培训应定期覆盖反洗钱政策、程序和风险意识</w:t>
      </w:r>
      <w:r>
        <w:rPr>
          <w:sz w:val="15"/>
          <w:vertAlign w:val="superscript"/>
        </w:rPr>
        <w:t>P244</w:t>
      </w:r>
      <w:r>
        <w:t>，还应涵盖内部控制并清晰说明员工在反洗钱计划中的角色与职责</w:t>
      </w:r>
      <w:r>
        <w:rPr>
          <w:sz w:val="15"/>
          <w:vertAlign w:val="superscript"/>
        </w:rPr>
        <w:t>P245</w:t>
      </w:r>
      <w:r>
        <w:t>，因此有效培训首先需要</w:t>
      </w:r>
      <w:r>
        <w:rPr>
          <w:b/>
        </w:rPr>
        <w:t>充分覆盖与员工履职相关的内容</w:t>
      </w:r>
      <w:r>
        <w:t>。教材同时指出，质量保证工作应根据发现的薄弱环节指导制定有针对性的员工培训计划</w:t>
      </w:r>
      <w:r>
        <w:rPr>
          <w:sz w:val="15"/>
          <w:vertAlign w:val="superscript"/>
        </w:rPr>
        <w:t>P252</w:t>
      </w:r>
      <w:r>
        <w:t>；培训应确保员工理解其监管职责和可疑交易报告结构，并使前台员工具备识别风险、遵守金融犯罪防控政策的能力</w:t>
      </w:r>
      <w:r>
        <w:rPr>
          <w:sz w:val="15"/>
          <w:vertAlign w:val="superscript"/>
        </w:rPr>
        <w:t>P255、P261</w:t>
      </w:r>
      <w:r>
        <w:t>。由此可见，教材重视的不是某一种授课形式，而是以适当方式使相关员工</w:t>
      </w:r>
      <w:r>
        <w:rPr>
          <w:b/>
        </w:rPr>
        <w:t>理解并能够运用培训内容</w:t>
      </w:r>
      <w:r>
        <w:t>。</w:t>
      </w:r>
    </w:p>
    <w:p>
      <w:pPr>
        <w:spacing w:line="360" w:lineRule="auto" w:after="40"/>
        <w:ind w:firstLine="420"/>
      </w:pPr>
      <w:r>
        <w:t>选项C中的“内容全面”对应培训内容应覆盖政策、程序、风险意识、内部控制及岗位职责等要求；“呈现方式引人入胜”则强调员工能够理解、参与并运用培训内容，而不是限定某一种授课技术。在四个选项中，C同时包含</w:t>
      </w:r>
      <w:r>
        <w:rPr>
          <w:b/>
        </w:rPr>
        <w:t>充分内容和有效传递</w:t>
      </w:r>
      <w:r>
        <w:t>两个维度，比仅限定线下形式、限定授课主体或采用通用内容更符合题意。</w:t>
      </w:r>
    </w:p>
    <w:p>
      <w:pPr>
        <w:spacing w:before="120" w:after="40"/>
      </w:pPr>
      <w:r>
        <w:rPr>
          <w:b/>
          <w:sz w:val="21"/>
          <w:shd w:fill="D6E4F0" w:val="clear"/>
        </w:rPr>
        <w:t>教材原句：</w:t>
      </w:r>
    </w:p>
    <w:p>
      <w:pPr>
        <w:spacing w:line="360" w:lineRule="auto" w:after="40"/>
        <w:ind w:firstLine="420"/>
      </w:pPr>
      <w:r>
        <w:t>"Training should cover internal controls and clearly explain employees’ roles and responsibilities within the AML program."</w:t>
      </w:r>
      <w:r>
        <w:rPr>
          <w:sz w:val="15"/>
          <w:vertAlign w:val="superscript"/>
        </w:rPr>
        <w:t>P245</w:t>
      </w:r>
    </w:p>
    <w:p>
      <w:pPr>
        <w:spacing w:before="120" w:after="40"/>
      </w:pPr>
      <w:r>
        <w:rPr>
          <w:b/>
          <w:sz w:val="21"/>
          <w:shd w:fill="D6E4F0" w:val="clear"/>
        </w:rPr>
        <w:t>A项错误：</w:t>
      </w:r>
    </w:p>
    <w:p>
      <w:pPr>
        <w:spacing w:line="360" w:lineRule="auto" w:after="40"/>
        <w:ind w:firstLine="420"/>
      </w:pPr>
      <w:r>
        <w:t>线下课程可以是培训形式之一，但教材判断培训是否发挥作用时，更直接关注培训是否覆盖必要内容、是否针对薄弱环节，以及员工是否理解职责并具备履职能力。A只限定授课形式，没有说明这些决定培训效果的要素，匹配度不如C。</w:t>
      </w:r>
    </w:p>
    <w:p>
      <w:pPr>
        <w:spacing w:before="120" w:after="40"/>
      </w:pPr>
      <w:r>
        <w:rPr>
          <w:b/>
          <w:sz w:val="21"/>
          <w:shd w:fill="D6E4F0" w:val="clear"/>
        </w:rPr>
        <w:t>B项错误：</w:t>
      </w:r>
    </w:p>
    <w:p>
      <w:pPr>
        <w:spacing w:line="360" w:lineRule="auto" w:after="40"/>
        <w:ind w:firstLine="420"/>
      </w:pPr>
      <w:r>
        <w:t>教材指出，培训可以由外部专业机构或内部团队开发，大型组织也可能由人力资源部门的学习与发展团队负责（P261-P262）。高级管理层的支持并不等于必须由高级管理层亲自授课，因此B对讲授主体的限定过窄。</w:t>
      </w:r>
    </w:p>
    <w:p>
      <w:pPr>
        <w:spacing w:before="120" w:after="40"/>
      </w:pPr>
      <w:r>
        <w:rPr>
          <w:b/>
          <w:sz w:val="21"/>
          <w:shd w:fill="D6E4F0" w:val="clear"/>
        </w:rPr>
        <w:t>D项错误：</w:t>
      </w:r>
    </w:p>
    <w:p>
      <w:pPr>
        <w:spacing w:line="360" w:lineRule="auto" w:after="40"/>
        <w:ind w:firstLine="420"/>
      </w:pPr>
      <w:r>
        <w:t>教材明确指出，质量保证工作应根据发现的改进领域指导制定“有针对性的员工培训计划”</w:t>
      </w:r>
      <w:r>
        <w:rPr>
          <w:sz w:val="15"/>
          <w:vertAlign w:val="superscript"/>
        </w:rPr>
        <w:t>P252</w:t>
      </w:r>
      <w:r>
        <w:t>。面向广大受众的一般化内容可能用于基础宣传，但相比围绕岗位职责和具体薄弱环节设计的培训，它不能充分体现教材强调的针对性。</w:t>
      </w:r>
    </w:p>
    <w:p>
      <w:pPr>
        <w:spacing w:before="120" w:after="40"/>
      </w:pPr>
      <w:r>
        <w:rPr>
          <w:b/>
          <w:sz w:val="21"/>
          <w:shd w:fill="D6E4F0" w:val="clear"/>
        </w:rPr>
        <w:t>易错提醒：</w:t>
      </w:r>
    </w:p>
    <w:p>
      <w:pPr>
        <w:spacing w:line="360" w:lineRule="auto" w:after="40"/>
        <w:ind w:firstLine="420"/>
      </w:pPr>
      <w:r>
        <w:t>“高级管理层支持培训”不等于“高级管理层亲自授课”；“所有员工都需要基础培训”也不等于“所有岗位使用完全相同的通用内容”。本题问的是最有助于培训有效的要素，应优先选择同时体现内容覆盖和学习效果的选项（P244-P245、P252、P255、P261），而不是把某一种形式或某一类讲授主体当成决定条件。</w:t>
      </w:r>
    </w:p>
    <w:p>
      <w:pPr>
        <w:spacing w:line="360" w:lineRule="auto" w:after="120"/>
      </w:pPr>
      <w:r/>
    </w:p>
    <w:p>
      <w:pPr>
        <w:spacing w:line="360" w:lineRule="auto" w:after="40"/>
      </w:pPr>
      <w:r>
        <w:t>10. According to the Financial Action Task Force (FATF) Recommendation 22, when involved in customer transactions that include the buying and selling of real estate, real estate professionals are required to apply which customer due diligence (CDD) measures? (Select Two.)</w:t>
      </w:r>
    </w:p>
    <w:p>
      <w:pPr>
        <w:spacing w:line="360" w:lineRule="auto" w:after="20"/>
        <w:ind w:firstLine="283"/>
      </w:pPr>
      <w:r>
        <w:t>A. Obtaining prior senior manager approval for all related transactions.</w:t>
      </w:r>
    </w:p>
    <w:p>
      <w:pPr>
        <w:spacing w:line="360" w:lineRule="auto" w:after="20"/>
        <w:ind w:firstLine="283"/>
      </w:pPr>
      <w:r>
        <w:t>B. Understanding the purpose of the business relationship.</w:t>
      </w:r>
    </w:p>
    <w:p>
      <w:pPr>
        <w:spacing w:line="360" w:lineRule="auto" w:after="20"/>
        <w:ind w:firstLine="283"/>
      </w:pPr>
      <w:r>
        <w:t>C. Performing adverse media searches on the customer.</w:t>
      </w:r>
    </w:p>
    <w:p>
      <w:pPr>
        <w:spacing w:line="360" w:lineRule="auto" w:after="20"/>
        <w:ind w:firstLine="283"/>
      </w:pPr>
      <w:r>
        <w:t>D. Identifying and verifying the customer's identity.</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区分标准CDD的核心要件与风险缓释类附加措施</w:t>
      </w:r>
    </w:p>
    <w:p>
      <w:pPr>
        <w:spacing w:before="120" w:after="40"/>
      </w:pPr>
      <w:r>
        <w:rPr>
          <w:b/>
          <w:sz w:val="21"/>
          <w:shd w:fill="D6E4F0" w:val="clear"/>
        </w:rPr>
        <w:t>核心解析：</w:t>
      </w:r>
    </w:p>
    <w:p>
      <w:pPr>
        <w:spacing w:line="360" w:lineRule="auto" w:after="40"/>
        <w:ind w:firstLine="420"/>
      </w:pPr>
      <w:r>
        <w:t>第五大支柱客户尽职调查明确要求机构</w:t>
      </w:r>
      <w:r>
        <w:rPr>
          <w:b/>
        </w:rPr>
        <w:t>识别并验证客户身份</w:t>
      </w:r>
      <w:r>
        <w:rPr>
          <w:sz w:val="15"/>
          <w:vertAlign w:val="superscript"/>
        </w:rPr>
        <w:t>P245</w:t>
      </w:r>
      <w:r>
        <w:t>，同时KYC流程规定机构必须</w:t>
      </w:r>
      <w:r>
        <w:rPr>
          <w:b/>
        </w:rPr>
        <w:t>了解并获取客户关系预期目的与性质</w:t>
      </w:r>
      <w:r>
        <w:t>的信息</w:t>
      </w:r>
      <w:r>
        <w:rPr>
          <w:sz w:val="15"/>
          <w:vertAlign w:val="superscript"/>
        </w:rPr>
        <w:t>P305</w:t>
      </w:r>
      <w:r>
        <w:t>。这两项是CDD的基本构成要件，直接对应“确认并核实客户身份”与“理解业务关系的目的”。题干问的是房地产专业人士根据FATF建议须采取的CDD措施，上述两个要件在教材中属于普遍适用的CDD步骤，并不依赖特定行业或风险场景追加，因此B和D成立。</w:t>
      </w:r>
    </w:p>
    <w:p>
      <w:pPr>
        <w:spacing w:before="120" w:after="40"/>
      </w:pPr>
      <w:r>
        <w:rPr>
          <w:b/>
          <w:sz w:val="21"/>
          <w:shd w:fill="D6E4F0" w:val="clear"/>
        </w:rPr>
        <w:t>教材原句：</w:t>
      </w:r>
    </w:p>
    <w:p>
      <w:pPr>
        <w:spacing w:line="360" w:lineRule="auto" w:after="40"/>
        <w:ind w:firstLine="420"/>
      </w:pPr>
      <w:r>
        <w:t>"The fifth pillar, CDD, requires organizations to identify and verify the identity of customers."</w:t>
      </w:r>
      <w:r>
        <w:rPr>
          <w:sz w:val="15"/>
          <w:vertAlign w:val="superscript"/>
        </w:rPr>
        <w:t>P245</w:t>
      </w:r>
    </w:p>
    <w:p>
      <w:pPr>
        <w:spacing w:before="120" w:after="40"/>
      </w:pPr>
      <w:r>
        <w:rPr>
          <w:b/>
          <w:sz w:val="21"/>
          <w:shd w:fill="D6E4F0" w:val="clear"/>
        </w:rPr>
        <w:t>A项错误：</w:t>
      </w:r>
    </w:p>
    <w:p>
      <w:pPr>
        <w:spacing w:line="360" w:lineRule="auto" w:after="40"/>
        <w:ind w:firstLine="420"/>
      </w:pPr>
      <w:r>
        <w:t>高级管理层批准通常是针对高风险客户或特定情形的强化措施</w:t>
      </w:r>
      <w:r>
        <w:rPr>
          <w:sz w:val="15"/>
          <w:vertAlign w:val="superscript"/>
        </w:rPr>
        <w:t>P312</w:t>
      </w:r>
      <w:r>
        <w:t>，并非所有业务关系启动时都必须履行的标准CDD步骤。</w:t>
      </w:r>
    </w:p>
    <w:p>
      <w:pPr>
        <w:spacing w:before="120" w:after="40"/>
      </w:pPr>
      <w:r>
        <w:rPr>
          <w:b/>
          <w:sz w:val="21"/>
          <w:shd w:fill="D6E4F0" w:val="clear"/>
        </w:rPr>
        <w:t>C项错误：</w:t>
      </w:r>
    </w:p>
    <w:p>
      <w:pPr>
        <w:spacing w:line="360" w:lineRule="auto" w:after="40"/>
        <w:ind w:firstLine="420"/>
      </w:pPr>
      <w:r>
        <w:t>负面媒体搜索主要用于风险评级和强化尽调</w:t>
      </w:r>
      <w:r>
        <w:rPr>
          <w:sz w:val="15"/>
          <w:vertAlign w:val="superscript"/>
        </w:rPr>
        <w:t>P312</w:t>
      </w:r>
      <w:r>
        <w:t>，属于额外筛查；题干所问的标准CDD措施更直接对应身份核实和了解业务关系目的。</w:t>
      </w:r>
    </w:p>
    <w:p>
      <w:pPr>
        <w:spacing w:before="120" w:after="40"/>
      </w:pPr>
      <w:r>
        <w:rPr>
          <w:b/>
          <w:sz w:val="21"/>
          <w:shd w:fill="D6E4F0" w:val="clear"/>
        </w:rPr>
        <w:t>易错提醒：</w:t>
      </w:r>
    </w:p>
    <w:p>
      <w:pPr>
        <w:spacing w:line="360" w:lineRule="auto" w:after="40"/>
        <w:ind w:firstLine="420"/>
      </w:pPr>
      <w:r>
        <w:t>标准CDD以身份识别验证和了解关系目的为核心</w:t>
      </w:r>
      <w:r>
        <w:rPr>
          <w:sz w:val="15"/>
          <w:vertAlign w:val="superscript"/>
        </w:rPr>
        <w:t>P245、P305</w:t>
      </w:r>
      <w:r>
        <w:t>；高级管理层批准、负面媒体搜索等常见于高风险客户或强化尽职调查（EDD）场景</w:t>
      </w:r>
      <w:r>
        <w:rPr>
          <w:sz w:val="15"/>
          <w:vertAlign w:val="superscript"/>
        </w:rPr>
        <w:t>P312</w:t>
      </w:r>
      <w:r>
        <w:t>，不属于普适性CDD动作。</w:t>
      </w:r>
    </w:p>
    <w:p>
      <w:pPr>
        <w:spacing w:line="360" w:lineRule="auto" w:after="120"/>
      </w:pPr>
      <w:r/>
    </w:p>
    <w:p>
      <w:pPr>
        <w:spacing w:line="360" w:lineRule="auto" w:after="40"/>
      </w:pPr>
      <w:r>
        <w:t>11. Which of the following are best practices to raise awareness and train staff regarding the risks related to financial crime? (Select Three.)</w:t>
      </w:r>
    </w:p>
    <w:p>
      <w:pPr>
        <w:spacing w:line="360" w:lineRule="auto" w:after="20"/>
        <w:ind w:firstLine="283"/>
      </w:pPr>
      <w:r>
        <w:t>A. Tailor training and offer regular training to all employees.</w:t>
      </w:r>
    </w:p>
    <w:p>
      <w:pPr>
        <w:spacing w:line="360" w:lineRule="auto" w:after="20"/>
        <w:ind w:firstLine="283"/>
      </w:pPr>
      <w:r>
        <w:t>B. Train outside of daily operations and promote awareness of compliance.</w:t>
      </w:r>
    </w:p>
    <w:p>
      <w:pPr>
        <w:spacing w:line="360" w:lineRule="auto" w:after="20"/>
        <w:ind w:firstLine="283"/>
      </w:pPr>
      <w:r>
        <w:t>C. Train relevant employees on core AML topics only once at onboarding.</w:t>
      </w:r>
    </w:p>
    <w:p>
      <w:pPr>
        <w:spacing w:line="360" w:lineRule="auto" w:after="20"/>
        <w:ind w:firstLine="283"/>
      </w:pPr>
      <w:r>
        <w:t>D. Use a variety of training methods and provide necessary resources to employees.</w:t>
      </w:r>
    </w:p>
    <w:p>
      <w:pPr>
        <w:spacing w:line="360" w:lineRule="auto" w:after="20"/>
        <w:ind w:firstLine="283"/>
      </w:pPr>
      <w:r>
        <w:t>E. Communicate regularly and measure the effectiveness of training.</w:t>
      </w:r>
    </w:p>
    <w:p>
      <w:pPr>
        <w:spacing w:line="360" w:lineRule="auto" w:after="40"/>
      </w:pPr>
      <w:r>
        <w:t>答案：A、D、E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反洗钱培训需持续、多元且以效果为导向</w:t>
      </w:r>
    </w:p>
    <w:p>
      <w:pPr>
        <w:spacing w:before="120" w:after="40"/>
      </w:pPr>
      <w:r>
        <w:rPr>
          <w:b/>
          <w:sz w:val="21"/>
          <w:shd w:fill="D6E4F0" w:val="clear"/>
        </w:rPr>
        <w:t>核心解析：</w:t>
      </w:r>
    </w:p>
    <w:p>
      <w:pPr>
        <w:spacing w:line="360" w:lineRule="auto" w:after="40"/>
        <w:ind w:firstLine="420"/>
      </w:pPr>
      <w:r>
        <w:t>教材在阐述反洗钱项目第三大支柱时指出，要求对员工进行“定期”、“持续”的培训以了解其职责和识别风险</w:t>
      </w:r>
      <w:r>
        <w:rPr>
          <w:sz w:val="15"/>
          <w:vertAlign w:val="superscript"/>
        </w:rPr>
        <w:t>P245</w:t>
      </w:r>
      <w:r>
        <w:t>。据此，一项完善的培训最佳实践应包含三个维度：覆盖所有员工并持续更新，对应选项A的“为所有员工量身定制并提供定期培训”，也有助于将合规文化嵌入组织</w:t>
      </w:r>
      <w:r>
        <w:rPr>
          <w:sz w:val="15"/>
          <w:vertAlign w:val="superscript"/>
        </w:rPr>
        <w:t>P254</w:t>
      </w:r>
      <w:r>
        <w:t>；采用多种方法并配置资源，对应选项D，培训可由外部专家或内部团队开发，管理层还需决定资源、技术和培训的配置</w:t>
      </w:r>
      <w:r>
        <w:rPr>
          <w:sz w:val="15"/>
          <w:vertAlign w:val="superscript"/>
        </w:rPr>
        <w:t>P262</w:t>
      </w:r>
      <w:r>
        <w:t>；建立</w:t>
      </w:r>
      <w:r>
        <w:rPr>
          <w:b/>
        </w:rPr>
        <w:t>反馈与衡量机制</w:t>
      </w:r>
      <w:r>
        <w:t>，对应选项E，通过衡量培训效果形成质量闭环</w:t>
      </w:r>
      <w:r>
        <w:rPr>
          <w:sz w:val="15"/>
          <w:vertAlign w:val="superscript"/>
        </w:rPr>
        <w:t>P261</w:t>
      </w:r>
      <w:r>
        <w:t>。这三项共同构成了从内容、形式到质量保障的完整培训体系。</w:t>
      </w:r>
    </w:p>
    <w:p>
      <w:pPr>
        <w:spacing w:before="120" w:after="40"/>
      </w:pPr>
      <w:r>
        <w:rPr>
          <w:b/>
          <w:sz w:val="21"/>
          <w:shd w:fill="D6E4F0" w:val="clear"/>
        </w:rPr>
        <w:t>教材原句：</w:t>
      </w:r>
    </w:p>
    <w:p>
      <w:pPr>
        <w:spacing w:line="360" w:lineRule="auto" w:after="40"/>
        <w:ind w:firstLine="420"/>
      </w:pPr>
      <w:r>
        <w:t>"The third pillar mandates regular, ongoing AML training for employees."</w:t>
      </w:r>
      <w:r>
        <w:rPr>
          <w:sz w:val="15"/>
          <w:vertAlign w:val="superscript"/>
        </w:rPr>
        <w:t>P245</w:t>
      </w:r>
    </w:p>
    <w:p>
      <w:pPr>
        <w:spacing w:before="120" w:after="40"/>
      </w:pPr>
      <w:r>
        <w:rPr>
          <w:b/>
          <w:sz w:val="21"/>
          <w:shd w:fill="D6E4F0" w:val="clear"/>
        </w:rPr>
        <w:t>B项错误：</w:t>
      </w:r>
    </w:p>
    <w:p>
      <w:pPr>
        <w:spacing w:line="360" w:lineRule="auto" w:after="40"/>
        <w:ind w:firstLine="420"/>
      </w:pPr>
      <w:r>
        <w:t>培训当然可以安排在脱离日常业务的课堂中，但 B 只说明“在日常运营之外”，没有给出持续、岗位定制、资源配置或效果评估等教材要求的关键要素，因此信息不足以成为最佳实践项。</w:t>
      </w:r>
    </w:p>
    <w:p>
      <w:pPr>
        <w:spacing w:before="120" w:after="40"/>
      </w:pPr>
      <w:r>
        <w:rPr>
          <w:b/>
          <w:sz w:val="21"/>
          <w:shd w:fill="D6E4F0" w:val="clear"/>
        </w:rPr>
        <w:t>C项错误：</w:t>
      </w:r>
    </w:p>
    <w:p>
      <w:pPr>
        <w:spacing w:line="360" w:lineRule="auto" w:after="40"/>
        <w:ind w:firstLine="420"/>
      </w:pPr>
      <w:r>
        <w:t>教材要求培训“定期且持续（regular, ongoing）”</w:t>
      </w:r>
      <w:r>
        <w:rPr>
          <w:sz w:val="15"/>
          <w:vertAlign w:val="superscript"/>
        </w:rPr>
        <w:t>P245</w:t>
      </w:r>
      <w:r>
        <w:t>，并强调法规与犯罪手法会变化、培训必须持续更新</w:t>
      </w:r>
      <w:r>
        <w:rPr>
          <w:sz w:val="15"/>
          <w:vertAlign w:val="superscript"/>
        </w:rPr>
        <w:t>P262</w:t>
      </w:r>
      <w:r>
        <w:t>。C仅在入职时培训一次，与“定期、持续”的要求不符。</w:t>
      </w:r>
    </w:p>
    <w:p>
      <w:pPr>
        <w:spacing w:before="120" w:after="40"/>
      </w:pPr>
      <w:r>
        <w:rPr>
          <w:b/>
          <w:sz w:val="21"/>
          <w:shd w:fill="D6E4F0" w:val="clear"/>
        </w:rPr>
        <w:t>易错提醒：</w:t>
      </w:r>
    </w:p>
    <w:p>
      <w:pPr>
        <w:spacing w:line="360" w:lineRule="auto" w:after="40"/>
        <w:ind w:firstLine="420"/>
      </w:pPr>
      <w:r>
        <w:t>培训不能只停留在入职时的一次性安排。教材将培训视为持续（ongoing）过程</w:t>
      </w:r>
      <w:r>
        <w:rPr>
          <w:sz w:val="15"/>
          <w:vertAlign w:val="superscript"/>
        </w:rPr>
        <w:t>P245</w:t>
      </w:r>
      <w:r>
        <w:t>，需根据风险变化和效果衡量定期（regular）调整内容（P261-P262）。</w:t>
      </w:r>
    </w:p>
    <w:p>
      <w:pPr>
        <w:spacing w:line="360" w:lineRule="auto" w:after="120"/>
      </w:pPr>
      <w:r/>
    </w:p>
    <w:p>
      <w:pPr>
        <w:spacing w:line="360" w:lineRule="auto" w:after="40"/>
      </w:pPr>
      <w:r>
        <w:t>12. Which of the following are considered best practices regarding senior management involvement in a financial crime compliance program? (Select Two.)</w:t>
      </w:r>
    </w:p>
    <w:p>
      <w:pPr>
        <w:spacing w:line="360" w:lineRule="auto" w:after="20"/>
        <w:ind w:firstLine="283"/>
      </w:pPr>
      <w:r>
        <w:t>A. Mandatory participation in all regulatory inspections</w:t>
      </w:r>
    </w:p>
    <w:p>
      <w:pPr>
        <w:spacing w:line="360" w:lineRule="auto" w:after="20"/>
        <w:ind w:firstLine="283"/>
      </w:pPr>
      <w:r>
        <w:t>B. Mandatory attendance at and review of all financial crime-related training</w:t>
      </w:r>
    </w:p>
    <w:p>
      <w:pPr>
        <w:spacing w:line="360" w:lineRule="auto" w:after="20"/>
        <w:ind w:firstLine="283"/>
      </w:pPr>
      <w:r>
        <w:t>C. Setting clear criteria for escalations to senior management</w:t>
      </w:r>
    </w:p>
    <w:p>
      <w:pPr>
        <w:spacing w:line="360" w:lineRule="auto" w:after="20"/>
        <w:ind w:firstLine="283"/>
      </w:pPr>
      <w:r>
        <w:t>D. Setting the tone from the top</w:t>
      </w:r>
    </w:p>
    <w:p>
      <w:pPr>
        <w:spacing w:line="360" w:lineRule="auto" w:after="40"/>
      </w:pPr>
      <w:r>
        <w:t>答案：C、D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区分高层在合规中的监督角色与具体执行职责</w:t>
      </w:r>
    </w:p>
    <w:p>
      <w:pPr>
        <w:spacing w:before="120" w:after="40"/>
      </w:pPr>
      <w:r>
        <w:rPr>
          <w:b/>
          <w:sz w:val="21"/>
          <w:shd w:fill="D6E4F0" w:val="clear"/>
        </w:rPr>
        <w:t>核心解析：</w:t>
      </w:r>
    </w:p>
    <w:p>
      <w:pPr>
        <w:spacing w:line="360" w:lineRule="auto" w:after="40"/>
        <w:ind w:firstLine="420"/>
      </w:pPr>
      <w:r>
        <w:t>有效的反洗钱计划对高级管理层有两项核心要求：一是反洗钱政策应包含向高级管理层和董事会</w:t>
      </w:r>
      <w:r>
        <w:rPr>
          <w:b/>
        </w:rPr>
        <w:t>上报问题的程序</w:t>
      </w:r>
      <w:r>
        <w:rPr>
          <w:sz w:val="15"/>
          <w:vertAlign w:val="superscript"/>
        </w:rPr>
        <w:t>P244</w:t>
      </w:r>
      <w:r>
        <w:t>，二是领导层应主动确立合规优先于商业利益的“</w:t>
      </w:r>
      <w:r>
        <w:rPr>
          <w:b/>
        </w:rPr>
        <w:t>高层基调</w:t>
      </w:r>
      <w:r>
        <w:t>”</w:t>
      </w:r>
      <w:r>
        <w:rPr>
          <w:sz w:val="15"/>
          <w:vertAlign w:val="superscript"/>
        </w:rPr>
        <w:t>P264</w:t>
      </w:r>
      <w:r>
        <w:t>。题干问的是高级管理层如何“参与”金融犯罪合规计划，而“参与”不等于“亲自执行”。选项C指向建立升级上报的明确标准，使高层能在关键时刻介入监督；选项D指向自上而下定基调，使高层通过态度和优先级设定塑造整个组织的合规文化。两者分别体现了“制度通道”和“文化引领”两个维度。</w:t>
      </w:r>
    </w:p>
    <w:p>
      <w:pPr>
        <w:spacing w:before="120" w:after="40"/>
      </w:pPr>
      <w:r>
        <w:rPr>
          <w:b/>
          <w:sz w:val="21"/>
          <w:shd w:fill="D6E4F0" w:val="clear"/>
        </w:rPr>
        <w:t>教材原句：</w:t>
      </w:r>
    </w:p>
    <w:p>
      <w:pPr>
        <w:spacing w:line="360" w:lineRule="auto" w:after="40"/>
        <w:ind w:firstLine="420"/>
      </w:pPr>
      <w:r>
        <w:t>"AML policies should also include escalation procedures for escalating concerns to senior management and the board of directors."</w:t>
      </w:r>
      <w:r>
        <w:rPr>
          <w:sz w:val="15"/>
          <w:vertAlign w:val="superscript"/>
        </w:rPr>
        <w:t>P244</w:t>
      </w:r>
    </w:p>
    <w:p>
      <w:pPr>
        <w:spacing w:before="120" w:after="40"/>
      </w:pPr>
      <w:r>
        <w:rPr>
          <w:b/>
          <w:sz w:val="21"/>
          <w:shd w:fill="D6E4F0" w:val="clear"/>
        </w:rPr>
        <w:t>A项错误：</w:t>
      </w:r>
    </w:p>
    <w:p>
      <w:pPr>
        <w:spacing w:line="360" w:lineRule="auto" w:after="40"/>
        <w:ind w:firstLine="420"/>
      </w:pPr>
      <w:r>
        <w:t>教材在列举与监管机构互动的最佳实践时，侧重数据完整性、指定联络人统一沟通、及时透明回应等操作事项。高级管理层可以监督监管互动，但无须亲自参加每一项监管检查。</w:t>
      </w:r>
    </w:p>
    <w:p>
      <w:pPr>
        <w:spacing w:before="120" w:after="40"/>
      </w:pPr>
      <w:r>
        <w:rPr>
          <w:b/>
          <w:sz w:val="21"/>
          <w:shd w:fill="D6E4F0" w:val="clear"/>
        </w:rPr>
        <w:t>B项错误：</w:t>
      </w:r>
    </w:p>
    <w:p>
      <w:pPr>
        <w:spacing w:line="360" w:lineRule="auto" w:after="40"/>
        <w:ind w:firstLine="420"/>
      </w:pPr>
      <w:r>
        <w:t>教材将员工培训列为有效反洗钱计划的第三大支柱，要求“对员工进行定期、持续的反洗钱培训”</w:t>
      </w:r>
      <w:r>
        <w:rPr>
          <w:sz w:val="15"/>
          <w:vertAlign w:val="superscript"/>
        </w:rPr>
        <w:t>P245</w:t>
      </w:r>
      <w:r>
        <w:t>。高级管理层应支持培训和资源投入，但无须亲自参加并审查每一项培训内容。</w:t>
      </w:r>
    </w:p>
    <w:p>
      <w:pPr>
        <w:spacing w:before="120" w:after="40"/>
      </w:pPr>
      <w:r>
        <w:rPr>
          <w:b/>
          <w:sz w:val="21"/>
          <w:shd w:fill="D6E4F0" w:val="clear"/>
        </w:rPr>
        <w:t>易错提醒：</w:t>
      </w:r>
    </w:p>
    <w:p>
      <w:pPr>
        <w:spacing w:line="360" w:lineRule="auto" w:after="40"/>
        <w:ind w:firstLine="420"/>
      </w:pPr>
      <w:r>
        <w:t>区分“高层基调”与“事必躬亲”：高层在合规中的最佳实践是通过设定优先次序、建立上报通道、分配充足资源来“引领”</w:t>
      </w:r>
      <w:r>
        <w:rPr>
          <w:sz w:val="15"/>
          <w:vertAlign w:val="superscript"/>
        </w:rPr>
        <w:t>P244、P264、P299</w:t>
      </w:r>
      <w:r>
        <w:t>，而非亲自执行每一项监管检查或审查每一份培训材料。“参与”意味着方向性介入和制度性保障，而非操作层面的事务性到场。</w:t>
      </w:r>
    </w:p>
    <w:p>
      <w:pPr>
        <w:spacing w:line="360" w:lineRule="auto" w:after="120"/>
      </w:pPr>
      <w:r/>
    </w:p>
    <w:p>
      <w:pPr>
        <w:spacing w:line="360" w:lineRule="auto" w:after="40"/>
      </w:pPr>
      <w:r>
        <w:t>13. Which of the following AML/CFT arrangements should a bank have in place at minimum before opening for business? (Choose three.)</w:t>
      </w:r>
    </w:p>
    <w:p>
      <w:pPr>
        <w:spacing w:line="360" w:lineRule="auto" w:after="20"/>
        <w:ind w:firstLine="283"/>
      </w:pPr>
      <w:r>
        <w:t>A. Independent compliance testing</w:t>
      </w:r>
    </w:p>
    <w:p>
      <w:pPr>
        <w:spacing w:line="360" w:lineRule="auto" w:after="20"/>
        <w:ind w:firstLine="283"/>
      </w:pPr>
      <w:r>
        <w:t>B. Qualified and knowledgeable staff</w:t>
      </w:r>
    </w:p>
    <w:p>
      <w:pPr>
        <w:spacing w:line="360" w:lineRule="auto" w:after="20"/>
        <w:ind w:firstLine="283"/>
      </w:pPr>
      <w:r>
        <w:t>C. Third-party screening software</w:t>
      </w:r>
    </w:p>
    <w:p>
      <w:pPr>
        <w:spacing w:line="360" w:lineRule="auto" w:after="20"/>
        <w:ind w:firstLine="283"/>
      </w:pPr>
      <w:r>
        <w:t>D. An automated monitoring system</w:t>
      </w:r>
    </w:p>
    <w:p>
      <w:pPr>
        <w:spacing w:line="360" w:lineRule="auto" w:after="20"/>
        <w:ind w:firstLine="283"/>
      </w:pPr>
      <w:r>
        <w:t>E. Written policy and procedures</w:t>
      </w:r>
    </w:p>
    <w:p>
      <w:pPr>
        <w:spacing w:line="360" w:lineRule="auto" w:after="40"/>
      </w:pPr>
      <w:r>
        <w:t>答案：A、B、E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识别金融犯罪合规项目（AFC Program）的核心构成要素</w:t>
      </w:r>
    </w:p>
    <w:p>
      <w:pPr>
        <w:spacing w:before="120" w:after="40"/>
      </w:pPr>
      <w:r>
        <w:rPr>
          <w:b/>
          <w:sz w:val="21"/>
          <w:shd w:fill="D6E4F0" w:val="clear"/>
        </w:rPr>
        <w:t>核心解析：</w:t>
      </w:r>
    </w:p>
    <w:p>
      <w:pPr>
        <w:spacing w:line="360" w:lineRule="auto" w:after="40"/>
        <w:ind w:firstLine="420"/>
      </w:pPr>
      <w:r>
        <w:t>一个有效的金融犯罪防控项目（AFC Program）由几项基础支柱构成。教材明确指出其关键要素包括：</w:t>
      </w:r>
      <w:r>
        <w:rPr>
          <w:b/>
        </w:rPr>
        <w:t>风险偏好声明</w:t>
      </w:r>
      <w:r>
        <w:t>、风险容忍度、政策与程序、控制措施及</w:t>
      </w:r>
      <w:r>
        <w:rPr>
          <w:b/>
        </w:rPr>
        <w:t>独立测试</w:t>
      </w:r>
      <w:r>
        <w:rPr>
          <w:sz w:val="15"/>
          <w:vertAlign w:val="superscript"/>
        </w:rPr>
        <w:t>P243</w:t>
      </w:r>
      <w:r>
        <w:t>。同时，员工的知识与能力通过培训来保障</w:t>
      </w:r>
      <w:r>
        <w:rPr>
          <w:sz w:val="15"/>
          <w:vertAlign w:val="superscript"/>
        </w:rPr>
        <w:t>P255</w:t>
      </w:r>
      <w:r>
        <w:t>，教材也将有资质的人员列为合规项目的基础前提</w:t>
      </w:r>
      <w:r>
        <w:rPr>
          <w:sz w:val="15"/>
          <w:vertAlign w:val="superscript"/>
        </w:rPr>
        <w:t>P196</w:t>
      </w:r>
      <w:r>
        <w:t>。题干问的是银行“开业前至少应具备”的最低配置，这指向不可缺失的合规骨架：必须有书面的</w:t>
      </w:r>
      <w:r>
        <w:rPr>
          <w:b/>
        </w:rPr>
        <w:t>政策与程序</w:t>
      </w:r>
      <w:r>
        <w:t>来确立规则、必须有独立测试机制来验证有效性、必须有合格员工来执行。这三个选项构成了合规项目从制定、执行到验证的完整闭环，是任何银行开业的先决条件。</w:t>
      </w:r>
    </w:p>
    <w:p>
      <w:pPr>
        <w:spacing w:before="120" w:after="40"/>
      </w:pPr>
      <w:r>
        <w:rPr>
          <w:b/>
          <w:sz w:val="21"/>
          <w:shd w:fill="D6E4F0" w:val="clear"/>
        </w:rPr>
        <w:t>教材原句：</w:t>
      </w:r>
    </w:p>
    <w:p>
      <w:pPr>
        <w:spacing w:line="360" w:lineRule="auto" w:after="40"/>
        <w:ind w:firstLine="420"/>
      </w:pPr>
      <w:r>
        <w:t>"Key elements of the AFC program include the risk appetite statement, risk tolerance, policies and procedures, controls, and independent testing."</w:t>
      </w:r>
      <w:r>
        <w:rPr>
          <w:sz w:val="15"/>
          <w:vertAlign w:val="superscript"/>
        </w:rPr>
        <w:t>P243</w:t>
      </w:r>
    </w:p>
    <w:p>
      <w:pPr>
        <w:spacing w:before="120" w:after="40"/>
      </w:pPr>
      <w:r>
        <w:rPr>
          <w:b/>
          <w:sz w:val="21"/>
          <w:shd w:fill="D6E4F0" w:val="clear"/>
        </w:rPr>
        <w:t>C项错误：</w:t>
      </w:r>
    </w:p>
    <w:p>
      <w:pPr>
        <w:spacing w:line="360" w:lineRule="auto" w:after="40"/>
        <w:ind w:firstLine="420"/>
      </w:pPr>
      <w:r>
        <w:t>第三方筛选软件属于外部数据获取的具体工具选择，取决于银行的业务模式和风险状况，并非每家银行开业时的最低配置要求。相比之下，书面政策和合格员工是所有合规项目的基础，软件工具可根据风险需求配置。</w:t>
      </w:r>
    </w:p>
    <w:p>
      <w:pPr>
        <w:spacing w:before="120" w:after="40"/>
      </w:pPr>
      <w:r>
        <w:rPr>
          <w:b/>
          <w:sz w:val="21"/>
          <w:shd w:fill="D6E4F0" w:val="clear"/>
        </w:rPr>
        <w:t>D项错误：</w:t>
      </w:r>
    </w:p>
    <w:p>
      <w:pPr>
        <w:spacing w:line="360" w:lineRule="auto" w:after="40"/>
        <w:ind w:firstLine="420"/>
      </w:pPr>
      <w:r>
        <w:t>自动化监测系统是交易监控的一种技术实现方式，并非所有银行都必须在开业前采用自动化形式。业务量较小时也可采用与风险和规模相称的其他监控安排，而独立测试、政策和合格员工属于基础要素。</w:t>
      </w:r>
    </w:p>
    <w:p>
      <w:pPr>
        <w:spacing w:line="360" w:lineRule="auto" w:after="120"/>
      </w:pPr>
      <w:r/>
    </w:p>
    <w:p>
      <w:pPr>
        <w:spacing w:line="360" w:lineRule="auto" w:after="40"/>
      </w:pPr>
      <w:r>
        <w:t>14. Which risk factors are associated with acquiring and servicing the banking activities of customers considered higher risk for financial crime activities? (Select Three.)</w:t>
      </w:r>
    </w:p>
    <w:p>
      <w:pPr>
        <w:spacing w:line="360" w:lineRule="auto" w:after="20"/>
        <w:ind w:firstLine="283"/>
      </w:pPr>
      <w:r>
        <w:t>A. Reputational risk</w:t>
      </w:r>
    </w:p>
    <w:p>
      <w:pPr>
        <w:spacing w:line="360" w:lineRule="auto" w:after="20"/>
        <w:ind w:firstLine="283"/>
      </w:pPr>
      <w:r>
        <w:t>B. Operational risk</w:t>
      </w:r>
    </w:p>
    <w:p>
      <w:pPr>
        <w:spacing w:line="360" w:lineRule="auto" w:after="20"/>
        <w:ind w:firstLine="283"/>
      </w:pPr>
      <w:r>
        <w:t>C. Sanctions risk</w:t>
      </w:r>
    </w:p>
    <w:p>
      <w:pPr>
        <w:spacing w:line="360" w:lineRule="auto" w:after="20"/>
        <w:ind w:firstLine="283"/>
      </w:pPr>
      <w:r>
        <w:t>D. Compliance risk</w:t>
      </w:r>
    </w:p>
    <w:p>
      <w:pPr>
        <w:spacing w:line="360" w:lineRule="auto" w:after="20"/>
        <w:ind w:firstLine="283"/>
      </w:pPr>
      <w:r>
        <w:t>E. Lending risk</w:t>
      </w:r>
    </w:p>
    <w:p>
      <w:pPr>
        <w:spacing w:line="360" w:lineRule="auto" w:after="40"/>
      </w:pPr>
      <w:r>
        <w:t>答案：A、C、D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区分高风险客户带来的声誉、制裁与合规风险。</w:t>
      </w:r>
    </w:p>
    <w:p>
      <w:pPr>
        <w:spacing w:before="120" w:after="40"/>
      </w:pPr>
      <w:r>
        <w:rPr>
          <w:b/>
          <w:sz w:val="21"/>
          <w:shd w:fill="D6E4F0" w:val="clear"/>
        </w:rPr>
        <w:t>核心解析：</w:t>
      </w:r>
    </w:p>
    <w:p>
      <w:pPr>
        <w:spacing w:line="360" w:lineRule="auto" w:after="40"/>
        <w:ind w:firstLine="420"/>
      </w:pPr>
      <w:r>
        <w:t>高风险客户可能因负面媒体、刑事指控或监管调查带来</w:t>
      </w:r>
      <w:r>
        <w:rPr>
          <w:b/>
        </w:rPr>
        <w:t>声誉风险</w:t>
      </w:r>
      <w:r>
        <w:rPr>
          <w:sz w:val="15"/>
          <w:vertAlign w:val="superscript"/>
        </w:rPr>
        <w:t>P322</w:t>
      </w:r>
      <w:r>
        <w:t>；若客户与受制裁司法管辖区或受制裁对象存在关系，还会增加</w:t>
      </w:r>
      <w:r>
        <w:rPr>
          <w:b/>
        </w:rPr>
        <w:t>制裁风险</w:t>
      </w:r>
      <w:r>
        <w:rPr>
          <w:sz w:val="15"/>
          <w:vertAlign w:val="superscript"/>
        </w:rPr>
        <w:t>P243</w:t>
      </w:r>
      <w:r>
        <w:t>；机构为高风险客户提供服务时若未履行法定义务，则面临合规风险。A、C、D分别对应这三类客户关联风险。操作风险主要来自内部流程、系统、人员或外部事件失败，贷款风险则属于具体信贷业务风险，不是本题所问的金融犯罪风险类别。</w:t>
      </w:r>
    </w:p>
    <w:p>
      <w:pPr>
        <w:spacing w:before="120" w:after="40"/>
      </w:pPr>
      <w:r>
        <w:rPr>
          <w:b/>
          <w:sz w:val="21"/>
          <w:shd w:fill="D6E4F0" w:val="clear"/>
        </w:rPr>
        <w:t>B项错误：</w:t>
      </w:r>
    </w:p>
    <w:p>
      <w:pPr>
        <w:spacing w:line="360" w:lineRule="auto" w:after="40"/>
        <w:ind w:firstLine="420"/>
      </w:pPr>
      <w:r>
        <w:t>操作风险可能因服务高风险客户而被放大，但其直接来源是机构内部流程和系统，而非客户的金融犯罪属性。</w:t>
      </w:r>
    </w:p>
    <w:p>
      <w:pPr>
        <w:spacing w:before="120" w:after="40"/>
      </w:pPr>
      <w:r>
        <w:rPr>
          <w:b/>
          <w:sz w:val="21"/>
          <w:shd w:fill="D6E4F0" w:val="clear"/>
        </w:rPr>
        <w:t>E项错误：</w:t>
      </w:r>
    </w:p>
    <w:p>
      <w:pPr>
        <w:spacing w:line="360" w:lineRule="auto" w:after="40"/>
        <w:ind w:firstLine="420"/>
      </w:pPr>
      <w:r>
        <w:t>贷款风险与借款人违约或信贷损失相关，题干考查的是金融犯罪风险因素。</w:t>
      </w:r>
    </w:p>
    <w:p>
      <w:pPr>
        <w:spacing w:before="120" w:after="40"/>
      </w:pPr>
      <w:r>
        <w:rPr>
          <w:b/>
          <w:sz w:val="21"/>
          <w:shd w:fill="D6E4F0" w:val="clear"/>
        </w:rPr>
        <w:t>易错提醒：</w:t>
      </w:r>
    </w:p>
    <w:p>
      <w:pPr>
        <w:spacing w:line="360" w:lineRule="auto" w:after="40"/>
        <w:ind w:firstLine="420"/>
      </w:pPr>
      <w:r>
        <w:t>合规风险是“是否遵守法律法规”的问题，操作风险是“内部流程是否有效”的问题；不要因两者都可能导致损失而混同</w:t>
      </w:r>
      <w:r>
        <w:rPr>
          <w:sz w:val="15"/>
          <w:vertAlign w:val="superscript"/>
        </w:rPr>
        <w:t>P243、P322</w:t>
      </w:r>
      <w:r>
        <w:t>。</w:t>
      </w:r>
    </w:p>
    <w:p>
      <w:pPr>
        <w:spacing w:line="360" w:lineRule="auto" w:after="120"/>
      </w:pPr>
      <w:r/>
    </w:p>
    <w:p>
      <w:pPr>
        <w:spacing w:line="360" w:lineRule="auto" w:after="40"/>
      </w:pPr>
      <w:r>
        <w:t>15. Which of the following are considered best practices for effective AML/CFT training programs? (Select Three.)</w:t>
      </w:r>
    </w:p>
    <w:p>
      <w:pPr>
        <w:spacing w:line="360" w:lineRule="auto" w:after="20"/>
        <w:ind w:firstLine="283"/>
      </w:pPr>
      <w:r>
        <w:t>A. Training should cover practical examples, use case studies, and provide information on how to comply with policies.</w:t>
      </w:r>
    </w:p>
    <w:p>
      <w:pPr>
        <w:spacing w:line="360" w:lineRule="auto" w:after="20"/>
        <w:ind w:firstLine="283"/>
      </w:pPr>
      <w:r>
        <w:t>B. Up-to-date records, including training logs and completion dates, should be maintained.</w:t>
      </w:r>
    </w:p>
    <w:p>
      <w:pPr>
        <w:spacing w:line="360" w:lineRule="auto" w:after="20"/>
        <w:ind w:firstLine="283"/>
      </w:pPr>
      <w:r>
        <w:t>C. Training should be broad, high-level, and not role-specific in order to reach the largest audience.</w:t>
      </w:r>
    </w:p>
    <w:p>
      <w:pPr>
        <w:spacing w:line="360" w:lineRule="auto" w:after="20"/>
        <w:ind w:firstLine="283"/>
      </w:pPr>
      <w:r>
        <w:t>D. Training should cover the consequences of not complying with policies and procedures.</w:t>
      </w:r>
    </w:p>
    <w:p>
      <w:pPr>
        <w:spacing w:line="360" w:lineRule="auto" w:after="20"/>
        <w:ind w:firstLine="283"/>
      </w:pPr>
      <w:r>
        <w:t>E. Training should always be provided by an independent third party.</w:t>
      </w:r>
    </w:p>
    <w:p>
      <w:pPr>
        <w:spacing w:line="360" w:lineRule="auto" w:after="40"/>
      </w:pPr>
      <w:r>
        <w:t>答案：A、B、D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AML/CFT培训的核心特征：角色针对性、记录保存与后果警示</w:t>
      </w:r>
    </w:p>
    <w:p>
      <w:pPr>
        <w:spacing w:before="120" w:after="40"/>
      </w:pPr>
      <w:r>
        <w:rPr>
          <w:b/>
          <w:sz w:val="21"/>
          <w:shd w:fill="D6E4F0" w:val="clear"/>
        </w:rPr>
        <w:t>核心解析：</w:t>
      </w:r>
    </w:p>
    <w:p>
      <w:pPr>
        <w:spacing w:line="360" w:lineRule="auto" w:after="40"/>
        <w:ind w:firstLine="420"/>
      </w:pPr>
      <w:r>
        <w:t>有效的AML/CFT培训项目需具备</w:t>
      </w:r>
      <w:r>
        <w:rPr>
          <w:b/>
        </w:rPr>
        <w:t>三项核心特征</w:t>
      </w:r>
      <w:r>
        <w:t>。第一，培训内容应具有角色针对性并贴近实务。教材强调培训应“</w:t>
      </w:r>
      <w:r>
        <w:rPr>
          <w:b/>
        </w:rPr>
        <w:t>清晰说明员工在反洗钱计划中的角色与职责</w:t>
      </w:r>
      <w:r>
        <w:t>”</w:t>
      </w:r>
      <w:r>
        <w:rPr>
          <w:sz w:val="15"/>
          <w:vertAlign w:val="superscript"/>
        </w:rPr>
        <w:t>P245</w:t>
      </w:r>
      <w:r>
        <w:t>，且案例中展示了应“向经纪人提供针对性的反洗钱培训，强调红旗信号和合规义务”</w:t>
      </w:r>
      <w:r>
        <w:rPr>
          <w:sz w:val="15"/>
          <w:vertAlign w:val="superscript"/>
        </w:rPr>
        <w:t>P103</w:t>
      </w:r>
      <w:r>
        <w:t>，这与选项A“涵盖实际案例、运用案例研究、提供如何遵守政策的信息”直接吻合。第二，严格的记录管理是培训体系有效运行的基础。教材要求“机构必须维护准确记录和结构化治理，以快速响应监管请求并展示有效的金融犯罪防控控制”</w:t>
      </w:r>
      <w:r>
        <w:rPr>
          <w:sz w:val="15"/>
          <w:vertAlign w:val="superscript"/>
        </w:rPr>
        <w:t>P299</w:t>
      </w:r>
      <w:r>
        <w:t>，培训日志和完成日期作为合规证据链的重要组成部分，使其与选项B一致。第三，培训须让员工理解违规的严重性。教材明确指出“未仔细遵循流程可能导致法律和监管后果”</w:t>
      </w:r>
      <w:r>
        <w:rPr>
          <w:sz w:val="15"/>
          <w:vertAlign w:val="superscript"/>
        </w:rPr>
        <w:t>P344</w:t>
      </w:r>
      <w:r>
        <w:t>，选项D要求培训涵盖“不遵守政策与程序的后果”，正是为了将这种责任意识内化到每位员工。选项C主张培训应“广泛、高水平且不针对特定角色”，与教材强调的角色针对性培训要求恰好相悖</w:t>
      </w:r>
      <w:r>
        <w:rPr>
          <w:sz w:val="15"/>
          <w:vertAlign w:val="superscript"/>
        </w:rPr>
        <w:t>P245</w:t>
      </w:r>
      <w:r>
        <w:t>，因此不入选。选项E主张培训“应始终由独立的第三方提供”，但教材记载外部专业提供商或内部团队均可开发培训</w:t>
      </w:r>
      <w:r>
        <w:rPr>
          <w:sz w:val="15"/>
          <w:vertAlign w:val="superscript"/>
        </w:rPr>
        <w:t>P261</w:t>
      </w:r>
      <w:r>
        <w:t>，不具强制性。</w:t>
      </w:r>
    </w:p>
    <w:p>
      <w:pPr>
        <w:spacing w:before="120" w:after="40"/>
      </w:pPr>
      <w:r>
        <w:rPr>
          <w:b/>
          <w:sz w:val="21"/>
          <w:shd w:fill="D6E4F0" w:val="clear"/>
        </w:rPr>
        <w:t>C项错误：</w:t>
      </w:r>
    </w:p>
    <w:p>
      <w:pPr>
        <w:spacing w:line="360" w:lineRule="auto" w:after="40"/>
        <w:ind w:firstLine="420"/>
      </w:pPr>
      <w:r>
        <w:t>选项主张培训应“广泛、高水平且不针对特定角色”以覆盖最广受众，但教材对培训的核心要求恰恰相反——培训应“</w:t>
      </w:r>
      <w:r>
        <w:rPr>
          <w:b/>
        </w:rPr>
        <w:t>清晰说明员工在反洗钱计划中的角色与职责</w:t>
      </w:r>
      <w:r>
        <w:t>”</w:t>
      </w:r>
      <w:r>
        <w:rPr>
          <w:sz w:val="15"/>
          <w:vertAlign w:val="superscript"/>
        </w:rPr>
        <w:t>P245</w:t>
      </w:r>
      <w:r>
        <w:t>，且案例中强调“针对性”培训</w:t>
      </w:r>
      <w:r>
        <w:rPr>
          <w:sz w:val="15"/>
          <w:vertAlign w:val="superscript"/>
        </w:rPr>
        <w:t>P103</w:t>
      </w:r>
      <w:r>
        <w:t>。题干更支持角色针对性而非泛化培训。</w:t>
      </w:r>
    </w:p>
    <w:p>
      <w:pPr>
        <w:spacing w:before="120" w:after="40"/>
      </w:pPr>
      <w:r>
        <w:rPr>
          <w:b/>
          <w:sz w:val="21"/>
          <w:shd w:fill="D6E4F0" w:val="clear"/>
        </w:rPr>
        <w:t>E项错误：选项使用“始终”（always）要求培训必须由独立第三方提供，但教材在说明第二道防线的培训职能时记载：</w:t>
      </w:r>
    </w:p>
    <w:p>
      <w:pPr>
        <w:spacing w:line="360" w:lineRule="auto" w:after="40"/>
        <w:ind w:firstLine="420"/>
      </w:pPr>
      <w:r>
        <w:t>“外部专业提供商或内部团队均可开发培训”</w:t>
      </w:r>
      <w:r>
        <w:rPr>
          <w:sz w:val="15"/>
          <w:vertAlign w:val="superscript"/>
        </w:rPr>
        <w:t>P261</w:t>
      </w:r>
      <w:r>
        <w:t>，未将第三方作为强制条件。题干条件更匹配灵活性安排而非绝对外包。</w:t>
      </w:r>
    </w:p>
    <w:p>
      <w:pPr>
        <w:spacing w:before="120" w:after="40"/>
      </w:pPr>
      <w:r>
        <w:rPr>
          <w:b/>
          <w:sz w:val="21"/>
          <w:shd w:fill="D6E4F0" w:val="clear"/>
        </w:rPr>
        <w:t>易错提醒：</w:t>
      </w:r>
    </w:p>
    <w:p>
      <w:pPr>
        <w:spacing w:line="360" w:lineRule="auto" w:after="40"/>
        <w:ind w:firstLine="420"/>
      </w:pPr>
      <w:r>
        <w:t>区分“角色针对性培训”与“通用高层级培训”：教材要求培训必须清晰说明员工的具体角色与职责</w:t>
      </w:r>
      <w:r>
        <w:rPr>
          <w:sz w:val="15"/>
          <w:vertAlign w:val="superscript"/>
        </w:rPr>
        <w:t>P245</w:t>
      </w:r>
      <w:r>
        <w:t>，案例也展示针对经纪人特定风险点培训</w:t>
      </w:r>
      <w:r>
        <w:rPr>
          <w:sz w:val="15"/>
          <w:vertAlign w:val="superscript"/>
        </w:rPr>
        <w:t>P103</w:t>
      </w:r>
      <w:r>
        <w:t>，通用化培训无法满足合规对员工各自职责认知的要求。</w:t>
      </w:r>
    </w:p>
    <w:p>
      <w:pPr>
        <w:spacing w:line="360" w:lineRule="auto" w:after="120"/>
      </w:pPr>
      <w:r/>
    </w:p>
    <w:p>
      <w:pPr>
        <w:spacing w:line="360" w:lineRule="auto" w:after="40"/>
      </w:pPr>
      <w:r>
        <w:t>16. In a standard customer due diligence (CDD) process focused on financial inclusion, the Financial Action Task Force (FATF) Recommendations require: (Choose two.)</w:t>
      </w:r>
    </w:p>
    <w:p>
      <w:pPr>
        <w:spacing w:line="360" w:lineRule="auto" w:after="20"/>
        <w:ind w:firstLine="283"/>
      </w:pPr>
      <w:r>
        <w:t>A. Identification of the customer's occupation.</w:t>
      </w:r>
    </w:p>
    <w:p>
      <w:pPr>
        <w:spacing w:line="360" w:lineRule="auto" w:after="20"/>
        <w:ind w:firstLine="283"/>
      </w:pPr>
      <w:r>
        <w:t>B. Identification and verification of the customer's identity.</w:t>
      </w:r>
    </w:p>
    <w:p>
      <w:pPr>
        <w:spacing w:line="360" w:lineRule="auto" w:after="20"/>
        <w:ind w:firstLine="283"/>
      </w:pPr>
      <w:r>
        <w:t>C. Identification of the customer's work address.</w:t>
      </w:r>
    </w:p>
    <w:p>
      <w:pPr>
        <w:spacing w:line="360" w:lineRule="auto" w:after="20"/>
        <w:ind w:firstLine="283"/>
      </w:pPr>
      <w:r>
        <w:t>D. Identification of the beneficial owner.</w:t>
      </w:r>
    </w:p>
    <w:p>
      <w:pPr>
        <w:spacing w:line="360" w:lineRule="auto" w:after="20"/>
        <w:ind w:firstLine="283"/>
      </w:pPr>
      <w:r>
        <w:t>E. Verification of the customer's credit history.</w:t>
      </w:r>
    </w:p>
    <w:p>
      <w:pPr>
        <w:spacing w:line="360" w:lineRule="auto" w:after="20"/>
        <w:ind w:firstLine="283"/>
      </w:pPr>
      <w:r>
        <w:t>F. Verification of the customer's income sources.</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标准客户尽职调查（CDD）的核心法定要件</w:t>
      </w:r>
    </w:p>
    <w:p>
      <w:pPr>
        <w:spacing w:before="120" w:after="40"/>
      </w:pPr>
      <w:r>
        <w:rPr>
          <w:b/>
          <w:sz w:val="21"/>
          <w:shd w:fill="D6E4F0" w:val="clear"/>
        </w:rPr>
        <w:t>核心解析：</w:t>
      </w:r>
    </w:p>
    <w:p>
      <w:pPr>
        <w:spacing w:line="360" w:lineRule="auto" w:after="40"/>
        <w:ind w:firstLine="420"/>
      </w:pPr>
      <w:r>
        <w:t>金融行动特别工作组（FATF）为金融机构设定的反洗钱五大支柱中，第五大支柱“</w:t>
      </w:r>
      <w:r>
        <w:rPr>
          <w:b/>
        </w:rPr>
        <w:t>客户尽职调查</w:t>
      </w:r>
      <w:r>
        <w:t>”明确要求机构</w:t>
      </w:r>
      <w:r>
        <w:rPr>
          <w:b/>
        </w:rPr>
        <w:t>“识别并验证客户身份”</w:t>
      </w:r>
      <w:r>
        <w:rPr>
          <w:sz w:val="15"/>
          <w:vertAlign w:val="superscript"/>
        </w:rPr>
        <w:t>P245</w:t>
      </w:r>
      <w:r>
        <w:t>。这一要求构成了任何标准CDD流程最底层的基石。同时，对于法人客户，CDD流程中必须穿透公司面纱，完成</w:t>
      </w:r>
      <w:r>
        <w:rPr>
          <w:b/>
        </w:rPr>
        <w:t>“受益所有人（BO）及最终受益所有人（UBO）的识别与核实”</w:t>
      </w:r>
      <w:r>
        <w:rPr>
          <w:sz w:val="15"/>
          <w:vertAlign w:val="superscript"/>
        </w:rPr>
        <w:t>P311</w:t>
      </w:r>
      <w:r>
        <w:t>。题干聚焦“标准客户尽职调查流程”，正是FATF基础性合规框架的体现。选项B“客户身份的识别与核实”对应身份识别这一支柱性要求，选项D“受益所有人的识别”对应穿透式识别要求，两者共同构成标准CDD中不可逾越的法定底线。即使题目特别提到“以金融普惠为重点”，FATF允许在低风险场景下采取简化措施，但从未豁免身份识别与受益所有人识别这两项核心义务。</w:t>
      </w:r>
    </w:p>
    <w:p>
      <w:pPr>
        <w:spacing w:before="120" w:after="40"/>
      </w:pPr>
      <w:r>
        <w:rPr>
          <w:b/>
          <w:sz w:val="21"/>
          <w:shd w:fill="D6E4F0" w:val="clear"/>
        </w:rPr>
        <w:t>A项错误：教材指出FATF建议10和11规定客户尽职调查的触发情形、这些工作包括核实客户身份、受益所有人、风险分类和资金来源。、CDD需识别和验证受益所有人（BO）及最终受益所有人（UBO）。。题干中在以金融普惠为重点的标准客户尽职调查（CDD）流程中，金融行动特别工作组（FATF）的建议要求：</w:t>
      </w:r>
    </w:p>
    <w:p>
      <w:pPr>
        <w:spacing w:line="360" w:lineRule="auto" w:after="40"/>
        <w:ind w:firstLine="420"/>
      </w:pPr>
      <w:r>
        <w:t>（选择两项。）与客户职业的识别。不一致。</w:t>
      </w:r>
    </w:p>
    <w:p>
      <w:pPr>
        <w:spacing w:before="120" w:after="40"/>
      </w:pPr>
      <w:r>
        <w:rPr>
          <w:b/>
          <w:sz w:val="21"/>
          <w:shd w:fill="D6E4F0" w:val="clear"/>
        </w:rPr>
        <w:t>C项错误：</w:t>
      </w:r>
    </w:p>
    <w:p>
      <w:pPr>
        <w:spacing w:line="360" w:lineRule="auto" w:after="40"/>
        <w:ind w:firstLine="420"/>
      </w:pPr>
      <w:r>
        <w:t>地址信息（address）是客户身份识别环节中会采集的个人详细信息之一</w:t>
      </w:r>
      <w:r>
        <w:rPr>
          <w:sz w:val="15"/>
          <w:vertAlign w:val="superscript"/>
        </w:rPr>
        <w:t>P305</w:t>
      </w:r>
      <w:r>
        <w:t>，但教材将其归入“身份识别”收集的数据范畴内，而非一项独立的、与身份识别并列的FATF强制性要求。题干问的是FATF建议层面的独立要求，确认办公地址作为单项的匹配度不如识别客户身份与受益所有人直接。</w:t>
      </w:r>
    </w:p>
    <w:p>
      <w:pPr>
        <w:spacing w:before="120" w:after="40"/>
      </w:pPr>
      <w:r>
        <w:rPr>
          <w:b/>
          <w:sz w:val="21"/>
          <w:shd w:fill="D6E4F0" w:val="clear"/>
        </w:rPr>
        <w:t>E项错误：教材指出CDD需识别和验证受益所有人（BO）及最终受益所有人（UBO）。、这些工作包括核实客户身份、受益所有人、风险分类和资金来源。、FATF建议10和11规定客户尽职调查的触发情形。题干中在以金融普惠为重点的标准客户尽职调查（CDD）流程中，金融行动特别工作组（FATF）的建议要求：</w:t>
      </w:r>
    </w:p>
    <w:p>
      <w:pPr>
        <w:spacing w:line="360" w:lineRule="auto" w:after="40"/>
        <w:ind w:firstLine="420"/>
      </w:pPr>
      <w:r>
        <w:t>（选择两项。）与客户信用记录的核实。不一致。</w:t>
      </w:r>
    </w:p>
    <w:p>
      <w:pPr>
        <w:spacing w:line="360" w:lineRule="auto" w:after="40"/>
        <w:ind w:firstLine="420"/>
      </w:pPr>
      <w:r>
        <w:t>F项错误：教材确实有场景要求核实客户“财富来源”（source of wealth）和“资金来源”（source of funds），但这通常出现在强化尽职调查（EDD）框架或针对高风险客户（如政治敏感人物）的特定要求中</w:t>
      </w:r>
      <w:r>
        <w:rPr>
          <w:sz w:val="15"/>
          <w:vertAlign w:val="superscript"/>
        </w:rPr>
        <w:t>P169</w:t>
      </w:r>
      <w:r>
        <w:t>。在题干明确的“标准CDD”与“金融普惠”低风险语境下，这一要求不如受益所有人识别那样属于FATF标准CDD的基础构件。</w:t>
      </w:r>
    </w:p>
    <w:p>
      <w:pPr>
        <w:spacing w:line="360" w:lineRule="auto" w:after="120"/>
      </w:pPr>
      <w:r/>
    </w:p>
    <w:p>
      <w:pPr>
        <w:spacing w:line="360" w:lineRule="auto" w:after="40"/>
      </w:pPr>
      <w:r>
        <w:t>17. An AML compliance officer for a large bank has recently received an internal audit report on the private banking unit. The report revealed that the unit staff were not following risk-based due diligence procedures, so the unit was not operating effectively. Which immediate actions should the AML compliance officer consider to address these findings? (Select Two.)</w:t>
      </w:r>
    </w:p>
    <w:p>
      <w:pPr>
        <w:spacing w:line="360" w:lineRule="auto" w:after="20"/>
        <w:ind w:firstLine="283"/>
      </w:pPr>
      <w:r>
        <w:t>A. Private bankers should receive training on AML procedures</w:t>
      </w:r>
    </w:p>
    <w:p>
      <w:pPr>
        <w:spacing w:line="360" w:lineRule="auto" w:after="20"/>
        <w:ind w:firstLine="283"/>
      </w:pPr>
      <w:r>
        <w:t>B. Management should implement a quality assurance program in the private banking unit</w:t>
      </w:r>
    </w:p>
    <w:p>
      <w:pPr>
        <w:spacing w:line="360" w:lineRule="auto" w:after="20"/>
        <w:ind w:firstLine="283"/>
      </w:pPr>
      <w:r>
        <w:t>C. The board should review and approve a revised AML policy to change the private banking customer due diligence requirements</w:t>
      </w:r>
    </w:p>
    <w:p>
      <w:pPr>
        <w:spacing w:line="360" w:lineRule="auto" w:after="20"/>
        <w:ind w:firstLine="283"/>
      </w:pPr>
      <w:r>
        <w:t>D. The legal department should conduct a review to assess potential legal consequences</w:t>
      </w:r>
    </w:p>
    <w:p>
      <w:pPr>
        <w:spacing w:line="360" w:lineRule="auto" w:after="20"/>
        <w:ind w:firstLine="283"/>
      </w:pPr>
      <w:r>
        <w:t>E. All employees should receive refresher AML training</w:t>
      </w:r>
    </w:p>
    <w:p>
      <w:pPr>
        <w:spacing w:line="360" w:lineRule="auto" w:after="40"/>
      </w:pPr>
      <w:r>
        <w:t>答案：A、B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内审发现员工未遵循既有RBA程序后的紧急纠正措施。</w:t>
      </w:r>
    </w:p>
    <w:p>
      <w:pPr>
        <w:spacing w:before="120" w:after="40"/>
      </w:pPr>
      <w:r>
        <w:rPr>
          <w:b/>
          <w:sz w:val="21"/>
          <w:shd w:fill="D6E4F0" w:val="clear"/>
        </w:rPr>
        <w:t>核心解析：</w:t>
      </w:r>
    </w:p>
    <w:p>
      <w:pPr>
        <w:spacing w:line="360" w:lineRule="auto" w:after="40"/>
        <w:ind w:firstLine="420"/>
      </w:pPr>
      <w:r>
        <w:t>题干已经明确问题是私人银行员工没有遵循现有的</w:t>
      </w:r>
      <w:r>
        <w:rPr>
          <w:b/>
        </w:rPr>
        <w:t>基于风险的尽调程序</w:t>
      </w:r>
      <w:r>
        <w:t>，而不是政策设计本身有缺陷。因此，最直接的紧急措施是A项所述对私人银行家开展AML程序培训，以及B项所述在私人银行部门实施</w:t>
      </w:r>
      <w:r>
        <w:rPr>
          <w:b/>
        </w:rPr>
        <w:t>质量保证计划</w:t>
      </w:r>
      <w:r>
        <w:t>，以抽样复核、持续测试和管理报告验证程序是否真正执行</w:t>
      </w:r>
      <w:r>
        <w:rPr>
          <w:sz w:val="15"/>
          <w:vertAlign w:val="superscript"/>
        </w:rPr>
        <w:t>P245</w:t>
      </w:r>
      <w:r>
        <w:t>。</w:t>
      </w:r>
    </w:p>
    <w:p>
      <w:pPr>
        <w:spacing w:line="360" w:lineRule="auto" w:after="40"/>
        <w:ind w:firstLine="420"/>
      </w:pPr>
      <w:r>
        <w:t>C只有在审查确认现行客户尽调要求设计不充分时才适用；题干没有这一事实。D法务审查和E全员复训可能在后续整改中考虑，但不如A、B精准、及时。</w:t>
      </w:r>
    </w:p>
    <w:p>
      <w:pPr>
        <w:spacing w:before="120" w:after="40"/>
      </w:pPr>
      <w:r>
        <w:rPr>
          <w:b/>
          <w:sz w:val="21"/>
          <w:shd w:fill="D6E4F0" w:val="clear"/>
        </w:rPr>
        <w:t>C项错误：</w:t>
      </w:r>
    </w:p>
    <w:p>
      <w:pPr>
        <w:spacing w:line="360" w:lineRule="auto" w:after="40"/>
        <w:ind w:firstLine="420"/>
      </w:pPr>
      <w:r>
        <w:t>修改政策属于制度设计整改，不能替代对现有程序执行失败的即时纠正。</w:t>
      </w:r>
    </w:p>
    <w:p>
      <w:pPr>
        <w:spacing w:before="120" w:after="40"/>
      </w:pPr>
      <w:r>
        <w:rPr>
          <w:b/>
          <w:sz w:val="21"/>
          <w:shd w:fill="D6E4F0" w:val="clear"/>
        </w:rPr>
        <w:t>D项错误：</w:t>
      </w:r>
    </w:p>
    <w:p>
      <w:pPr>
        <w:spacing w:line="360" w:lineRule="auto" w:after="40"/>
        <w:ind w:firstLine="420"/>
      </w:pPr>
      <w:r>
        <w:t>法律后果评估可以并行进行，但不是恢复该部门控制有效性的首要措施。</w:t>
      </w:r>
    </w:p>
    <w:p>
      <w:pPr>
        <w:spacing w:before="120" w:after="40"/>
      </w:pPr>
      <w:r>
        <w:rPr>
          <w:b/>
          <w:sz w:val="21"/>
          <w:shd w:fill="D6E4F0" w:val="clear"/>
        </w:rPr>
        <w:t>E项错误：</w:t>
      </w:r>
    </w:p>
    <w:p>
      <w:pPr>
        <w:spacing w:line="360" w:lineRule="auto" w:after="40"/>
        <w:ind w:firstLine="420"/>
      </w:pPr>
      <w:r>
        <w:t>问题限定在私人银行部门，对全体员工复训范围过大。</w:t>
      </w:r>
    </w:p>
    <w:p>
      <w:pPr>
        <w:spacing w:before="120" w:after="40"/>
      </w:pPr>
      <w:r>
        <w:rPr>
          <w:b/>
          <w:sz w:val="21"/>
          <w:shd w:fill="D6E4F0" w:val="clear"/>
        </w:rPr>
        <w:t>易错提醒：</w:t>
      </w:r>
    </w:p>
    <w:p>
      <w:pPr>
        <w:spacing w:line="360" w:lineRule="auto" w:after="40"/>
        <w:ind w:firstLine="420"/>
      </w:pPr>
      <w:r>
        <w:t>先区分“员工没有执行政策”和“政策本身存在缺陷”：前者优先培训、质量保证和复测</w:t>
      </w:r>
      <w:r>
        <w:rPr>
          <w:sz w:val="15"/>
          <w:vertAlign w:val="superscript"/>
        </w:rPr>
        <w:t>P245</w:t>
      </w:r>
      <w:r>
        <w:t>，后者才需要修订政策。</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