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 (EN)</w:t>
      </w:r>
    </w:p>
    <w:p>
      <w:pPr>
        <w:spacing w:line="360" w:lineRule="auto" w:after="160"/>
      </w:pPr>
      <w:r>
        <w:t>一、单项选择题</w:t>
      </w:r>
    </w:p>
    <w:p>
      <w:pPr>
        <w:spacing w:line="360" w:lineRule="auto" w:after="40"/>
      </w:pPr>
      <w:r>
        <w:t>1. Which should be provided to the board of directors or designated specialized committee when preparing suspicious activity reports (SARs)?</w:t>
      </w:r>
    </w:p>
    <w:p>
      <w:pPr>
        <w:spacing w:line="360" w:lineRule="auto" w:after="20"/>
        <w:ind w:firstLine="283"/>
      </w:pPr>
      <w:r>
        <w:t>A. Statistical data regarding SARs filed during the reported period</w:t>
      </w:r>
    </w:p>
    <w:p>
      <w:pPr>
        <w:spacing w:line="360" w:lineRule="auto" w:after="20"/>
        <w:ind w:firstLine="283"/>
      </w:pPr>
      <w:r>
        <w:t>B. All possible details of SARs filed during the reported period</w:t>
      </w:r>
    </w:p>
    <w:p>
      <w:pPr>
        <w:spacing w:line="360" w:lineRule="auto" w:after="20"/>
        <w:ind w:firstLine="283"/>
      </w:pPr>
      <w:r>
        <w:t>C. Copies of all SARs filed during the reported period</w:t>
      </w:r>
    </w:p>
    <w:p>
      <w:pPr>
        <w:spacing w:line="360" w:lineRule="auto" w:after="20"/>
        <w:ind w:firstLine="283"/>
      </w:pPr>
      <w:r>
        <w:t>D. Names of all customers subject to SARs filed during the reported period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董事会监督所需SAR信息的恰当粒度</w:t>
      </w:r>
    </w:p>
    <w:p>
      <w:pPr>
        <w:spacing w:before="120" w:after="40"/>
      </w:pPr>
      <w:r>
        <w:rPr>
          <w:b/>
          <w:sz w:val="21"/>
          <w:shd w:fill="D6E4F0" w:val="clear"/>
        </w:rPr>
        <w:t>核心解析：</w:t>
      </w:r>
    </w:p>
    <w:p>
      <w:pPr>
        <w:spacing w:line="360" w:lineRule="auto" w:after="40"/>
        <w:ind w:firstLine="420"/>
      </w:pPr>
      <w:r>
        <w:t>董事会在金融机构反金融犯罪（AFC）项目中的核心角色是</w:t>
      </w:r>
      <w:r>
        <w:rPr>
          <w:b/>
        </w:rPr>
        <w:t>治理与监督</w:t>
      </w:r>
      <w:r>
        <w:rPr>
          <w:sz w:val="15"/>
          <w:vertAlign w:val="superscript"/>
        </w:rPr>
        <w:t>P259</w:t>
      </w:r>
      <w:r>
        <w:t>。它负责批准风险偏好、AFC合规职能的范围与目标，并确保项目有效性和缺陷的及时解决（P259-P260）。为履行这一战略监督职责，董事会需要的是能反映</w:t>
      </w:r>
      <w:r>
        <w:rPr>
          <w:b/>
        </w:rPr>
        <w:t>SAR申报整体趋势和风险状况的汇总信息</w:t>
      </w:r>
      <w:r>
        <w:t>，而非可能干扰战略判断的个案细节。选项A提供的“报告期内提交的SAR的统计数据”正是这种高层级的概括性信息。相比之下，过于庞杂的详细信息、报告副本或客户姓名，不仅不必要，还可能增加信息泄露风险，与董事会宏观监督的定位不匹配。</w:t>
      </w:r>
    </w:p>
    <w:p>
      <w:pPr>
        <w:spacing w:before="120" w:after="40"/>
      </w:pPr>
      <w:r>
        <w:rPr>
          <w:b/>
          <w:sz w:val="21"/>
          <w:shd w:fill="D6E4F0" w:val="clear"/>
        </w:rPr>
        <w:t>教材原句：</w:t>
      </w:r>
    </w:p>
    <w:p>
      <w:pPr>
        <w:spacing w:line="360" w:lineRule="auto" w:after="40"/>
        <w:ind w:firstLine="420"/>
      </w:pPr>
      <w:r>
        <w:t>"The board of directors plays a critical role in the governance and oversight of a financial institution’s AFC program. It approves the risk appetite, the scope, objectives, and responsibilities of the AFC compliance function."</w:t>
      </w:r>
    </w:p>
    <w:p>
      <w:pPr>
        <w:spacing w:before="120" w:after="40"/>
      </w:pPr>
      <w:r>
        <w:rPr>
          <w:b/>
          <w:sz w:val="21"/>
          <w:shd w:fill="D6E4F0" w:val="clear"/>
        </w:rPr>
        <w:t>B项错误：</w:t>
      </w:r>
    </w:p>
    <w:p>
      <w:pPr>
        <w:spacing w:line="360" w:lineRule="auto" w:after="40"/>
        <w:ind w:firstLine="420"/>
      </w:pPr>
      <w:r>
        <w:t>选项B要求提供所有SAR的“所有可能的详细信息”。教材规定，董事会的职责是战略层面的监督</w:t>
      </w:r>
      <w:r>
        <w:rPr>
          <w:sz w:val="15"/>
          <w:vertAlign w:val="superscript"/>
        </w:rPr>
        <w:t>P259</w:t>
      </w:r>
      <w:r>
        <w:t>，而非审查个案细节。过度详细的报告信息与董事会宏观治理的职能定位不匹配，更适合由管理层的反洗钱合规部门直接处理。</w:t>
      </w:r>
    </w:p>
    <w:p>
      <w:pPr>
        <w:spacing w:before="120" w:after="40"/>
      </w:pPr>
      <w:r>
        <w:rPr>
          <w:b/>
          <w:sz w:val="21"/>
          <w:shd w:fill="D6E4F0" w:val="clear"/>
        </w:rPr>
        <w:t>C项错误：</w:t>
      </w:r>
    </w:p>
    <w:p>
      <w:pPr>
        <w:spacing w:line="360" w:lineRule="auto" w:after="40"/>
        <w:ind w:firstLine="420"/>
      </w:pPr>
      <w:r>
        <w:t>选项C要求提供“所有SAR的副本”。这同样涉及过度的个案层面信息。教材指出SAR不应在金融机构与执法部门之外共享以免影响调查</w:t>
      </w:r>
      <w:r>
        <w:rPr>
          <w:sz w:val="15"/>
          <w:vertAlign w:val="superscript"/>
        </w:rPr>
        <w:t>P352</w:t>
      </w:r>
      <w:r>
        <w:t>。为所有董事提供完整的SAR副本，增加了信息扩散的风险，在必要性上不如仅提供统计数据A项。</w:t>
      </w:r>
    </w:p>
    <w:p>
      <w:pPr>
        <w:spacing w:before="120" w:after="40"/>
      </w:pPr>
      <w:r>
        <w:rPr>
          <w:b/>
          <w:sz w:val="21"/>
          <w:shd w:fill="D6E4F0" w:val="clear"/>
        </w:rPr>
        <w:t>D项错误：</w:t>
      </w:r>
    </w:p>
    <w:p>
      <w:pPr>
        <w:spacing w:line="360" w:lineRule="auto" w:after="40"/>
        <w:ind w:firstLine="420"/>
      </w:pPr>
      <w:r>
        <w:t>选项D要求提供被提交SAR的“客户姓名”。这一信息过于具体，属于个案调查细节。对于董事会履行对AFC项目整体有效性的监督职责</w:t>
      </w:r>
      <w:r>
        <w:rPr>
          <w:sz w:val="15"/>
          <w:vertAlign w:val="superscript"/>
        </w:rPr>
        <w:t>P259</w:t>
      </w:r>
      <w:r>
        <w:t>而言，客户层面的姓名信息不如统计性数据A项更直接、更相关。</w:t>
      </w:r>
    </w:p>
    <w:p>
      <w:pPr>
        <w:spacing w:before="120" w:after="40"/>
      </w:pPr>
      <w:r>
        <w:rPr>
          <w:b/>
          <w:sz w:val="21"/>
          <w:shd w:fill="D6E4F0" w:val="clear"/>
        </w:rPr>
        <w:t>易错提醒：</w:t>
      </w:r>
    </w:p>
    <w:p>
      <w:pPr>
        <w:spacing w:line="360" w:lineRule="auto" w:after="40"/>
        <w:ind w:firstLine="420"/>
      </w:pPr>
      <w:r>
        <w:t>区分董事会的“治理监督”职责与管理层的“运营执行”职责。董事会需要概括性数据（如统计数据）以把控方向与风险，而详细的交易报告或客户信息属于运营层面，由管理层和合规部门负责。</w:t>
      </w:r>
    </w:p>
    <w:p>
      <w:pPr>
        <w:spacing w:line="360" w:lineRule="auto" w:after="120"/>
      </w:pPr>
      <w:r/>
    </w:p>
    <w:p>
      <w:pPr>
        <w:spacing w:line="360" w:lineRule="auto" w:after="40"/>
      </w:pPr>
      <w:r>
        <w:t>2. One key aspect of promoting an enterprise-wide compliance culture within a financial institution is that:</w:t>
      </w:r>
    </w:p>
    <w:p>
      <w:pPr>
        <w:spacing w:line="360" w:lineRule="auto" w:after="20"/>
        <w:ind w:firstLine="283"/>
      </w:pPr>
      <w:r>
        <w:t>A. Relevant information should be shared throughout the organization</w:t>
      </w:r>
    </w:p>
    <w:p>
      <w:pPr>
        <w:spacing w:line="360" w:lineRule="auto" w:after="20"/>
        <w:ind w:firstLine="283"/>
      </w:pPr>
      <w:r>
        <w:t>B. Revenue-generating business sectors should have precedence over compliance</w:t>
      </w:r>
    </w:p>
    <w:p>
      <w:pPr>
        <w:spacing w:line="360" w:lineRule="auto" w:after="20"/>
        <w:ind w:firstLine="283"/>
      </w:pPr>
      <w:r>
        <w:t>C. The first line of defense should establish its own policies independently</w:t>
      </w:r>
    </w:p>
    <w:p>
      <w:pPr>
        <w:spacing w:line="360" w:lineRule="auto" w:after="20"/>
        <w:ind w:firstLine="283"/>
      </w:pPr>
      <w:r>
        <w:t>D. The cost of compliance should increase proportionately to revenues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识别企业内合规文化的关键在于信息共享</w:t>
      </w:r>
    </w:p>
    <w:p>
      <w:pPr>
        <w:spacing w:before="120" w:after="40"/>
      </w:pPr>
      <w:r>
        <w:rPr>
          <w:b/>
          <w:sz w:val="21"/>
          <w:shd w:fill="D6E4F0" w:val="clear"/>
        </w:rPr>
        <w:t>核心解析：</w:t>
      </w:r>
    </w:p>
    <w:p>
      <w:pPr>
        <w:spacing w:line="360" w:lineRule="auto" w:after="40"/>
        <w:ind w:firstLine="420"/>
      </w:pPr>
      <w:r>
        <w:t>建立合规文化的核心要素包括</w:t>
      </w:r>
      <w:r>
        <w:rPr>
          <w:b/>
        </w:rPr>
        <w:t>信息透明与跨职能共享</w:t>
      </w:r>
      <w:r>
        <w:t>。教材在阐述“企业范围内合规文化”时指明：合规人员应被授权实施组织的金融犯罪防控政策，并在不同工作职能之间共享信息</w:t>
      </w:r>
      <w:r>
        <w:rPr>
          <w:sz w:val="15"/>
          <w:vertAlign w:val="superscript"/>
        </w:rPr>
        <w:t>P264</w:t>
      </w:r>
      <w:r>
        <w:t>。题干问的是“推动”企业范围内合规文化的关键方面，即如何使文化从领导层出发扩散到整个组织。教材进一步说明，领导层应倡导合规视角，并期望其在整个组织内传播</w:t>
      </w:r>
      <w:r>
        <w:rPr>
          <w:sz w:val="15"/>
          <w:vertAlign w:val="superscript"/>
        </w:rPr>
        <w:t>P264</w:t>
      </w:r>
      <w:r>
        <w:t>，这被称为</w:t>
      </w:r>
      <w:r>
        <w:rPr>
          <w:b/>
        </w:rPr>
        <w:t>“高层基调”</w:t>
      </w:r>
      <w:r>
        <w:t>。信息在整个组织内共享，正是这一传播过程的具体体现——没有信息的跨部门流动，合规视角无法从高层下沉至一线，各业务条线也难形成统一的风险认知。相比之下，将创收业务优先于合规（选项B）、让第一道防线自定政策（选项C）、或让成本随收入等比增加（选项D），都无法直接承载“文化扩散”这一核心需求。由此可判断，相关信息在组织内共享最直接匹配推动企业范围内合规文化的要求。</w:t>
      </w:r>
    </w:p>
    <w:p>
      <w:pPr>
        <w:spacing w:before="120" w:after="40"/>
      </w:pPr>
      <w:r>
        <w:rPr>
          <w:b/>
          <w:sz w:val="21"/>
          <w:shd w:fill="D6E4F0" w:val="clear"/>
        </w:rPr>
        <w:t>B项错误：</w:t>
      </w:r>
    </w:p>
    <w:p>
      <w:pPr>
        <w:spacing w:line="360" w:lineRule="auto" w:after="40"/>
        <w:ind w:firstLine="420"/>
      </w:pPr>
      <w:r>
        <w:t>教材明确指出领导层应持续提醒员工“合规要求优先于商业利益”</w:t>
      </w:r>
      <w:r>
        <w:rPr>
          <w:sz w:val="15"/>
          <w:vertAlign w:val="superscript"/>
        </w:rPr>
        <w:t>P264</w:t>
      </w:r>
      <w:r>
        <w:t>，这与选项B的“创收业务部门应优先于合规要求”直接相反。汇丰银行案例也证实，将利润置于合规控制之上最终导致巨额处罚与声誉损失</w:t>
      </w:r>
      <w:r>
        <w:rPr>
          <w:sz w:val="15"/>
          <w:vertAlign w:val="superscript"/>
        </w:rPr>
        <w:t>P47</w:t>
      </w:r>
      <w:r>
        <w:t>。题干问的是“推动合规文化”，而不是“什么情况会损害合规文化”，因此方向不对。</w:t>
      </w:r>
    </w:p>
    <w:p>
      <w:pPr>
        <w:spacing w:before="120" w:after="40"/>
      </w:pPr>
      <w:r>
        <w:rPr>
          <w:b/>
          <w:sz w:val="21"/>
          <w:shd w:fill="D6E4F0" w:val="clear"/>
        </w:rPr>
        <w:t>C项错误：</w:t>
      </w:r>
    </w:p>
    <w:p>
      <w:pPr>
        <w:spacing w:line="360" w:lineRule="auto" w:after="40"/>
        <w:ind w:firstLine="420"/>
      </w:pPr>
      <w:r>
        <w:t>三道防线模型明确第二道防线承担政策制定职能，第一道防线负责实施政策与执行客户尽职调查</w:t>
      </w:r>
      <w:r>
        <w:rPr>
          <w:sz w:val="15"/>
          <w:vertAlign w:val="superscript"/>
        </w:rPr>
        <w:t>P246</w:t>
      </w:r>
      <w:r>
        <w:t>。选项C说第一道防线“独立制定自身的政策”，与教材架构不符——政策由第二道防线的合规部门统一制定，再由第一道防线执行，而非各自为政。这虽然涉及防线之间的互动，但题干更直接指向跨职能信息共享这一文化传播纽带。</w:t>
      </w:r>
    </w:p>
    <w:p>
      <w:pPr>
        <w:spacing w:before="120" w:after="40"/>
      </w:pPr>
      <w:r>
        <w:rPr>
          <w:b/>
          <w:sz w:val="21"/>
          <w:shd w:fill="D6E4F0" w:val="clear"/>
        </w:rPr>
        <w:t>D项错误：</w:t>
      </w:r>
    </w:p>
    <w:p>
      <w:pPr>
        <w:spacing w:line="360" w:lineRule="auto" w:after="40"/>
        <w:ind w:firstLine="420"/>
      </w:pPr>
      <w:r>
        <w:t>合规文化关注人员、流程、培训与工具是否充足</w:t>
      </w:r>
      <w:r>
        <w:rPr>
          <w:sz w:val="15"/>
          <w:vertAlign w:val="superscript"/>
        </w:rPr>
        <w:t>P264</w:t>
      </w:r>
      <w:r>
        <w:t>，以及领导层对合规的态度。合规资源应根据风险评估配置，不是随收入按比例增加。</w:t>
      </w:r>
    </w:p>
    <w:p>
      <w:pPr>
        <w:spacing w:before="120" w:after="40"/>
      </w:pPr>
      <w:r>
        <w:rPr>
          <w:b/>
          <w:sz w:val="21"/>
          <w:shd w:fill="D6E4F0" w:val="clear"/>
        </w:rPr>
        <w:t>易错提醒：</w:t>
      </w:r>
    </w:p>
    <w:p>
      <w:pPr>
        <w:spacing w:line="360" w:lineRule="auto" w:after="40"/>
        <w:ind w:firstLine="420"/>
      </w:pPr>
      <w:r>
        <w:t>学生容易混淆第一道防线与第二道防线的职责分工。教材明确定义：第一道防线负责执行政策，第二道防线负责制定政策并监控第一道防线控制的有效性</w:t>
      </w:r>
      <w:r>
        <w:rPr>
          <w:sz w:val="15"/>
          <w:vertAlign w:val="superscript"/>
        </w:rPr>
        <w:t>P246</w:t>
      </w:r>
      <w:r>
        <w:t>。如果记反了，就容易误选C。</w:t>
      </w:r>
    </w:p>
    <w:p>
      <w:pPr>
        <w:spacing w:line="360" w:lineRule="auto" w:after="120"/>
      </w:pPr>
      <w:r/>
    </w:p>
    <w:p>
      <w:pPr>
        <w:spacing w:line="360" w:lineRule="auto" w:after="40"/>
      </w:pPr>
      <w:r>
        <w:t>3. According to guidelines issued by the Basel Committee on Banking Supervision relating to corporate governance principles for banks, what is the role of the board of directors in addressing an institution's AML oversight and governance?</w:t>
      </w:r>
    </w:p>
    <w:p>
      <w:pPr>
        <w:spacing w:line="360" w:lineRule="auto" w:after="20"/>
        <w:ind w:firstLine="283"/>
      </w:pPr>
      <w:r>
        <w:t>A. The board of directors should be responsible for overseeing the management of the bank's compliance risk but not be involved in establishing a compliance policy</w:t>
      </w:r>
    </w:p>
    <w:p>
      <w:pPr>
        <w:spacing w:line="360" w:lineRule="auto" w:after="20"/>
        <w:ind w:firstLine="283"/>
      </w:pPr>
      <w:r>
        <w:t>B. The board of directors should establish a compliance function and approve the bank's policies for identifying, assessing, monitoring, reporting, and advising on compliance risk</w:t>
      </w:r>
    </w:p>
    <w:p>
      <w:pPr>
        <w:spacing w:line="360" w:lineRule="auto" w:after="20"/>
        <w:ind w:firstLine="283"/>
      </w:pPr>
      <w:r>
        <w:t>C. The compliance function must have sufficient authority, stature, independence, and resources to operate effectively and independently, and should not have contact with the board</w:t>
      </w:r>
    </w:p>
    <w:p>
      <w:pPr>
        <w:spacing w:line="360" w:lineRule="auto" w:after="20"/>
        <w:ind w:firstLine="283"/>
      </w:pPr>
      <w:r>
        <w:t>D. The compliance function should report directly to the chief executive officer on the bank's compliance with applicable laws, regulations, and standards, and inform the board only as necessary about the bank's efforts to manage compliance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董事会在反洗钱治理中批准政策和设立监督职能的职责划分</w:t>
      </w:r>
    </w:p>
    <w:p>
      <w:pPr>
        <w:spacing w:before="120" w:after="40"/>
      </w:pPr>
      <w:r>
        <w:rPr>
          <w:b/>
          <w:sz w:val="21"/>
          <w:shd w:fill="D6E4F0" w:val="clear"/>
        </w:rPr>
        <w:t>核心解析：</w:t>
      </w:r>
    </w:p>
    <w:p>
      <w:pPr>
        <w:spacing w:line="360" w:lineRule="auto" w:after="40"/>
        <w:ind w:firstLine="420"/>
      </w:pPr>
      <w:r>
        <w:t>根据教材，董事会在金融机构金融犯罪防控计划中承担</w:t>
      </w:r>
      <w:r>
        <w:rPr>
          <w:b/>
        </w:rPr>
        <w:t>治理和监督职责</w:t>
      </w:r>
      <w:r>
        <w:t>。董事会应批准风险偏好，以及金融犯罪防控合规职能的范围、目标和责任</w:t>
      </w:r>
      <w:r>
        <w:rPr>
          <w:sz w:val="15"/>
          <w:vertAlign w:val="superscript"/>
        </w:rPr>
        <w:t>P259</w:t>
      </w:r>
      <w:r>
        <w:t>；同时，董事会必须批准金融犯罪防控计划，并对合规计划承担最终责任</w:t>
      </w:r>
      <w:r>
        <w:rPr>
          <w:sz w:val="15"/>
          <w:vertAlign w:val="superscript"/>
        </w:rPr>
        <w:t>P259、P264</w:t>
      </w:r>
      <w:r>
        <w:t>。这表明董事会不能只是被动听取汇报，而应主动建立合规治理框架并行使政策审批权。</w:t>
      </w:r>
    </w:p>
    <w:p>
      <w:pPr>
        <w:spacing w:line="360" w:lineRule="auto" w:after="40"/>
        <w:ind w:firstLine="420"/>
      </w:pPr>
      <w:r>
        <w:t>四个选项中，B最符合这一治理定位：董事会应确保机构具有</w:t>
      </w:r>
      <w:r>
        <w:rPr>
          <w:b/>
        </w:rPr>
        <w:t>有效的合规职能</w:t>
      </w:r>
      <w:r>
        <w:t>，并批准用于识别、评估、监测和报告合规风险的政策。B项同时体现了董事会主动监督、合规职能建设和政策审批责任。董事会设立专门的反洗钱或风险管理委员会，是其落实监督责任的一种治理安排</w:t>
      </w:r>
      <w:r>
        <w:rPr>
          <w:sz w:val="15"/>
          <w:vertAlign w:val="superscript"/>
        </w:rPr>
        <w:t>P259</w:t>
      </w:r>
      <w:r>
        <w:t>，但专门委员会与合规职能并非同一组织结构，不能将二者直接等同。</w:t>
      </w:r>
    </w:p>
    <w:p>
      <w:pPr>
        <w:spacing w:before="120" w:after="40"/>
      </w:pPr>
      <w:r>
        <w:rPr>
          <w:b/>
          <w:sz w:val="21"/>
          <w:shd w:fill="D6E4F0" w:val="clear"/>
        </w:rPr>
        <w:t>教材原句：</w:t>
      </w:r>
    </w:p>
    <w:p>
      <w:pPr>
        <w:spacing w:line="360" w:lineRule="auto" w:after="40"/>
        <w:ind w:firstLine="420"/>
      </w:pPr>
      <w:r>
        <w:t>"The board of directors plays a critical role in the governance and oversight of a financial institution’s AFC program. It approves the risk appetite, the scope, objectives, and responsibilities of the AFC compliance function."</w:t>
      </w:r>
    </w:p>
    <w:p>
      <w:pPr>
        <w:spacing w:before="120" w:after="40"/>
      </w:pPr>
      <w:r>
        <w:rPr>
          <w:b/>
          <w:sz w:val="21"/>
          <w:shd w:fill="D6E4F0" w:val="clear"/>
        </w:rPr>
        <w:t>A项错误：</w:t>
      </w:r>
    </w:p>
    <w:p>
      <w:pPr>
        <w:spacing w:line="360" w:lineRule="auto" w:after="40"/>
        <w:ind w:firstLine="420"/>
      </w:pPr>
      <w:r>
        <w:t>董事会确实负责监督合规风险管理，但A进一步排除了董事会在合规政策建立和审批中的作用。教材明确要求董事会批准合规职能的范围、目标和责任，并批准金融犯罪防控计划</w:t>
      </w:r>
      <w:r>
        <w:rPr>
          <w:sz w:val="15"/>
          <w:vertAlign w:val="superscript"/>
        </w:rPr>
        <w:t>P259</w:t>
      </w:r>
      <w:r>
        <w:t>。董事会不一定负责具体起草政策，但不能被排除在政策审批和治理之外。</w:t>
      </w:r>
    </w:p>
    <w:p>
      <w:pPr>
        <w:spacing w:before="120" w:after="40"/>
      </w:pPr>
      <w:r>
        <w:rPr>
          <w:b/>
          <w:sz w:val="21"/>
          <w:shd w:fill="D6E4F0" w:val="clear"/>
        </w:rPr>
        <w:t>C项错误：</w:t>
      </w:r>
    </w:p>
    <w:p>
      <w:pPr>
        <w:spacing w:line="360" w:lineRule="auto" w:after="40"/>
        <w:ind w:firstLine="420"/>
      </w:pPr>
      <w:r>
        <w:t>合规职能应具备足够的权威、地位、独立性和资源，但“不应与董事会接触”不成立。董事会需要批准合规职能的范围、目标和责任</w:t>
      </w:r>
      <w:r>
        <w:rPr>
          <w:sz w:val="15"/>
          <w:vertAlign w:val="superscript"/>
        </w:rPr>
        <w:t>P259</w:t>
      </w:r>
      <w:r>
        <w:t>，并对合规计划承担最终责任</w:t>
      </w:r>
      <w:r>
        <w:rPr>
          <w:sz w:val="15"/>
          <w:vertAlign w:val="superscript"/>
        </w:rPr>
        <w:t>P264</w:t>
      </w:r>
      <w:r>
        <w:t>；高级管理层还须确保定期向董事会提交计划状态报告</w:t>
      </w:r>
      <w:r>
        <w:rPr>
          <w:sz w:val="15"/>
          <w:vertAlign w:val="superscript"/>
        </w:rPr>
        <w:t>P260</w:t>
      </w:r>
      <w:r>
        <w:t>。这些职责要求董事会与合规职能之间存在适当的汇报和沟通渠道。</w:t>
      </w:r>
    </w:p>
    <w:p>
      <w:pPr>
        <w:spacing w:before="120" w:after="40"/>
      </w:pPr>
      <w:r>
        <w:rPr>
          <w:b/>
          <w:sz w:val="21"/>
          <w:shd w:fill="D6E4F0" w:val="clear"/>
        </w:rPr>
        <w:t>D项错误：</w:t>
      </w:r>
    </w:p>
    <w:p>
      <w:pPr>
        <w:spacing w:line="360" w:lineRule="auto" w:after="40"/>
        <w:ind w:firstLine="420"/>
      </w:pPr>
      <w:r>
        <w:t>教材要求向董事会定期提交计划状态、风险评估和重大事件报告</w:t>
      </w:r>
      <w:r>
        <w:rPr>
          <w:sz w:val="15"/>
          <w:vertAlign w:val="superscript"/>
        </w:rPr>
        <w:t>P260</w:t>
      </w:r>
      <w:r>
        <w:t>，而不是仅在必要时通报。董事会还负责评估新兴风险、控制有效性并确保及时整改缺陷</w:t>
      </w:r>
      <w:r>
        <w:rPr>
          <w:sz w:val="15"/>
          <w:vertAlign w:val="superscript"/>
        </w:rPr>
        <w:t>P260</w:t>
      </w:r>
      <w:r>
        <w:t>，因此不能被降格为偶尔获知情况的被动角色。</w:t>
      </w:r>
    </w:p>
    <w:p>
      <w:pPr>
        <w:spacing w:before="120" w:after="40"/>
      </w:pPr>
      <w:r>
        <w:rPr>
          <w:b/>
          <w:sz w:val="21"/>
          <w:shd w:fill="D6E4F0" w:val="clear"/>
        </w:rPr>
        <w:t>易错提醒：</w:t>
      </w:r>
    </w:p>
    <w:p>
      <w:pPr>
        <w:spacing w:line="360" w:lineRule="auto" w:after="40"/>
        <w:ind w:firstLine="420"/>
      </w:pPr>
      <w:r>
        <w:t>董事会负责定方向、批框架、实施监督并承担最终责任（P259-P260、P264）；高级管理层和业务负责人负责日常实施</w:t>
      </w:r>
      <w:r>
        <w:rPr>
          <w:sz w:val="15"/>
          <w:vertAlign w:val="superscript"/>
        </w:rPr>
        <w:t>P260</w:t>
      </w:r>
      <w:r>
        <w:t>。董事会不必亲自起草或执行每项政策，但必须批准合规治理安排、获得定期报告并监督计划有效性。</w:t>
      </w:r>
    </w:p>
    <w:p>
      <w:pPr>
        <w:spacing w:line="360" w:lineRule="auto" w:after="120"/>
      </w:pPr>
      <w:r/>
    </w:p>
    <w:p>
      <w:pPr>
        <w:spacing w:line="360" w:lineRule="auto" w:after="40"/>
      </w:pPr>
      <w:r>
        <w:t>4. When under a regulator's consent order or similar action, who at an organization is ultimately accountable for the remediation of any violations of applicable AML/CFT laws and regulations?</w:t>
      </w:r>
    </w:p>
    <w:p>
      <w:pPr>
        <w:spacing w:line="360" w:lineRule="auto" w:after="20"/>
        <w:ind w:firstLine="283"/>
      </w:pPr>
      <w:r>
        <w:t>A. Designated AML compliance officer</w:t>
      </w:r>
    </w:p>
    <w:p>
      <w:pPr>
        <w:spacing w:line="360" w:lineRule="auto" w:after="20"/>
        <w:ind w:firstLine="283"/>
      </w:pPr>
      <w:r>
        <w:t>B. Chief executive officer</w:t>
      </w:r>
    </w:p>
    <w:p>
      <w:pPr>
        <w:spacing w:line="360" w:lineRule="auto" w:after="20"/>
        <w:ind w:firstLine="283"/>
      </w:pPr>
      <w:r>
        <w:t>C. Chief operating officer</w:t>
      </w:r>
    </w:p>
    <w:p>
      <w:pPr>
        <w:spacing w:line="360" w:lineRule="auto" w:after="20"/>
        <w:ind w:firstLine="283"/>
      </w:pPr>
      <w:r>
        <w:t>D. Board of directors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明确合规计划中承担“最终责任”的治理主体</w:t>
      </w:r>
    </w:p>
    <w:p>
      <w:pPr>
        <w:spacing w:before="120" w:after="40"/>
      </w:pPr>
      <w:r>
        <w:rPr>
          <w:b/>
          <w:sz w:val="21"/>
          <w:shd w:fill="D6E4F0" w:val="clear"/>
        </w:rPr>
        <w:t>核心解析：</w:t>
      </w:r>
    </w:p>
    <w:p>
      <w:pPr>
        <w:spacing w:line="360" w:lineRule="auto" w:after="40"/>
        <w:ind w:firstLine="420"/>
      </w:pPr>
      <w:r>
        <w:t>在教材框架下，董事会（Board of directors）对反洗钱/打击恐怖主义融资（AML/CFT）合规计划承担</w:t>
      </w:r>
      <w:r>
        <w:rPr>
          <w:b/>
        </w:rPr>
        <w:t>“最终责任”</w:t>
      </w:r>
      <w:r>
        <w:t>（ultimate responsibility）。P264明确写道：“董事会对合规计划承担最终责任。”P260同样指出，董事会最终对计划的有效性负责，且“必须确保任何缺陷得到及时解决”。题干问的是在收到监管机构同意令后，谁对违规行为的“整改”（remediation）最终负责——“整改”恰恰是</w:t>
      </w:r>
      <w:r>
        <w:rPr>
          <w:b/>
        </w:rPr>
        <w:t>解决已发现缺陷</w:t>
      </w:r>
      <w:r>
        <w:t>的过程，这与P260描述的董事会必须确保缺陷被及时处理的责任直接吻合。因此，在四个选项中，董事会是承担这一最终责任的主体。</w:t>
      </w:r>
    </w:p>
    <w:p>
      <w:pPr>
        <w:spacing w:before="120" w:after="40"/>
      </w:pPr>
      <w:r>
        <w:rPr>
          <w:b/>
          <w:sz w:val="21"/>
          <w:shd w:fill="D6E4F0" w:val="clear"/>
        </w:rPr>
        <w:t>教材原句：</w:t>
      </w:r>
    </w:p>
    <w:p>
      <w:pPr>
        <w:spacing w:line="360" w:lineRule="auto" w:after="40"/>
        <w:ind w:firstLine="420"/>
      </w:pPr>
      <w:r>
        <w:t>"The ultimate responsibility for the compliance program belongs to the board of directors."</w:t>
      </w:r>
    </w:p>
    <w:p>
      <w:pPr>
        <w:spacing w:before="120" w:after="40"/>
      </w:pPr>
      <w:r>
        <w:rPr>
          <w:b/>
          <w:sz w:val="21"/>
          <w:shd w:fill="D6E4F0" w:val="clear"/>
        </w:rPr>
        <w:t>A项错误：</w:t>
      </w:r>
    </w:p>
    <w:p>
      <w:pPr>
        <w:spacing w:line="360" w:lineRule="auto" w:after="40"/>
        <w:ind w:firstLine="420"/>
      </w:pPr>
      <w:r>
        <w:t>指定的反洗钱合规官的职责是“监督反洗钱项目”（overseeing the program）P244，或负责计划的“日常活动”（day-to-day activities）P180。其角色更像计划的日常执行和管理者，并非像董事会那样对有效性缺陷的整改承担最终责任。</w:t>
      </w:r>
    </w:p>
    <w:p>
      <w:pPr>
        <w:spacing w:before="120" w:after="40"/>
      </w:pPr>
      <w:r>
        <w:rPr>
          <w:b/>
          <w:sz w:val="21"/>
          <w:shd w:fill="D6E4F0" w:val="clear"/>
        </w:rPr>
        <w:t>B项错误：</w:t>
      </w:r>
    </w:p>
    <w:p>
      <w:pPr>
        <w:spacing w:line="360" w:lineRule="auto" w:after="40"/>
        <w:ind w:firstLine="420"/>
      </w:pPr>
      <w:r>
        <w:t>教材在部分案例中提及首席执行官，但并未将其定位为“最终负责”的主体。相比之下，教材在两处直接写明董事会承担“最终责任”，对“谁最终负责整改”这一问题给予了更直接的匹配。</w:t>
      </w:r>
    </w:p>
    <w:p>
      <w:pPr>
        <w:spacing w:before="120" w:after="40"/>
      </w:pPr>
      <w:r>
        <w:rPr>
          <w:b/>
          <w:sz w:val="21"/>
          <w:shd w:fill="D6E4F0" w:val="clear"/>
        </w:rPr>
        <w:t>C项错误：</w:t>
      </w:r>
    </w:p>
    <w:p>
      <w:pPr>
        <w:spacing w:line="360" w:lineRule="auto" w:after="40"/>
        <w:ind w:firstLine="420"/>
      </w:pPr>
      <w:r>
        <w:t>首席运营官在教材中属于负责在日常运营中实施反洗钱政策的第一道防线角色</w:t>
      </w:r>
      <w:r>
        <w:rPr>
          <w:sz w:val="15"/>
          <w:vertAlign w:val="superscript"/>
        </w:rPr>
        <w:t>P295</w:t>
      </w:r>
      <w:r>
        <w:t>，承担的是执行层面的具体管理责任，与题干所问的“最终”（ultimate）责任层级不同。</w:t>
      </w:r>
    </w:p>
    <w:p>
      <w:pPr>
        <w:spacing w:before="120" w:after="40"/>
      </w:pPr>
      <w:r>
        <w:rPr>
          <w:b/>
          <w:sz w:val="21"/>
          <w:shd w:fill="D6E4F0" w:val="clear"/>
        </w:rPr>
        <w:t>易错提醒：</w:t>
      </w:r>
    </w:p>
    <w:p>
      <w:pPr>
        <w:spacing w:line="360" w:lineRule="auto" w:after="40"/>
        <w:ind w:firstLine="420"/>
      </w:pPr>
      <w:r>
        <w:t>指定反洗钱合规官与董事会容易混淆：前者负责计划的日常管理与执行</w:t>
      </w:r>
      <w:r>
        <w:rPr>
          <w:sz w:val="15"/>
          <w:vertAlign w:val="superscript"/>
        </w:rPr>
        <w:t>P244，P180</w:t>
      </w:r>
      <w:r>
        <w:t>，后者承担最终责任</w:t>
      </w:r>
      <w:r>
        <w:rPr>
          <w:sz w:val="15"/>
          <w:vertAlign w:val="superscript"/>
        </w:rPr>
        <w:t>P264，P260</w:t>
      </w:r>
      <w:r>
        <w:t>。同属治理结构，但责任层次有别。</w:t>
      </w:r>
    </w:p>
    <w:p>
      <w:pPr>
        <w:spacing w:line="360" w:lineRule="auto" w:after="120"/>
      </w:pPr>
      <w:r/>
    </w:p>
    <w:p>
      <w:pPr>
        <w:spacing w:line="360" w:lineRule="auto" w:after="40"/>
      </w:pPr>
      <w:r>
        <w:t>5. Which of the following measures can help maintain the independence of BSA/AML compliance staff to ensure effective compliance controls?</w:t>
      </w:r>
    </w:p>
    <w:p>
      <w:pPr>
        <w:spacing w:line="360" w:lineRule="auto" w:after="20"/>
        <w:ind w:firstLine="283"/>
      </w:pPr>
      <w:r>
        <w:t>A. Establishing BSA/AML compliance staff reporting to the management of the business line in the first line of defense</w:t>
      </w:r>
    </w:p>
    <w:p>
      <w:pPr>
        <w:spacing w:line="360" w:lineRule="auto" w:after="20"/>
        <w:ind w:firstLine="283"/>
      </w:pPr>
      <w:r>
        <w:t>B. Ensuring BSA/AML compliance staff is primarily outsourced</w:t>
      </w:r>
    </w:p>
    <w:p>
      <w:pPr>
        <w:spacing w:line="360" w:lineRule="auto" w:after="20"/>
        <w:ind w:firstLine="283"/>
      </w:pPr>
      <w:r>
        <w:t>C. Providing BSA/AML compliance staff with a reporting line to compliance or other second line of defense internal control function</w:t>
      </w:r>
    </w:p>
    <w:p>
      <w:pPr>
        <w:spacing w:line="360" w:lineRule="auto" w:after="20"/>
        <w:ind w:firstLine="283"/>
      </w:pPr>
      <w:r>
        <w:t>D. Providing BSA/AML compliance staff with a reporting line to the chief financial officer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三道防线模型中独立汇报线对保持合规职能客观性的作用</w:t>
      </w:r>
    </w:p>
    <w:p>
      <w:pPr>
        <w:spacing w:before="120" w:after="40"/>
      </w:pPr>
      <w:r>
        <w:rPr>
          <w:b/>
          <w:sz w:val="21"/>
          <w:shd w:fill="D6E4F0" w:val="clear"/>
        </w:rPr>
        <w:t>核心解析：</w:t>
      </w:r>
    </w:p>
    <w:p>
      <w:pPr>
        <w:spacing w:line="360" w:lineRule="auto" w:after="40"/>
        <w:ind w:firstLine="420"/>
      </w:pPr>
      <w:r>
        <w:t>三道防线模型是反洗钱治理的基础框架：第一道防线是业务部门，直接识别和控制业务风险</w:t>
      </w:r>
      <w:r>
        <w:rPr>
          <w:sz w:val="15"/>
          <w:vertAlign w:val="superscript"/>
        </w:rPr>
        <w:t>P166</w:t>
      </w:r>
      <w:r>
        <w:t>；第二道防线是合规与内部控制职能</w:t>
      </w:r>
      <w:r>
        <w:rPr>
          <w:sz w:val="15"/>
          <w:vertAlign w:val="superscript"/>
        </w:rPr>
        <w:t>P167</w:t>
      </w:r>
      <w:r>
        <w:t>，其核心特征在于</w:t>
      </w:r>
      <w:r>
        <w:rPr>
          <w:b/>
        </w:rPr>
        <w:t>保持独立于业务线，直接向高级管理层报告</w:t>
      </w:r>
      <w:r>
        <w:t>，确保合规与风险管理客观实施，不受利润创造活动影响</w:t>
      </w:r>
      <w:r>
        <w:rPr>
          <w:sz w:val="15"/>
          <w:vertAlign w:val="superscript"/>
        </w:rPr>
        <w:t>P248</w:t>
      </w:r>
      <w:r>
        <w:t>。这道题问的是如何保持独立性，关键在于建立不受被监督业务条线控制的汇报渠道。选项C让BSA/AML合规人员向合规部门或其他第二道防线内部控制职能汇报，最直接符合这一组织定位。</w:t>
      </w:r>
    </w:p>
    <w:p>
      <w:pPr>
        <w:spacing w:before="120" w:after="40"/>
      </w:pPr>
      <w:r>
        <w:rPr>
          <w:b/>
          <w:sz w:val="21"/>
          <w:shd w:fill="D6E4F0" w:val="clear"/>
        </w:rPr>
        <w:t>A项错误：</w:t>
      </w:r>
    </w:p>
    <w:p>
      <w:pPr>
        <w:spacing w:line="360" w:lineRule="auto" w:after="40"/>
        <w:ind w:firstLine="420"/>
      </w:pPr>
      <w:r>
        <w:t>教材要求第二道防线保持独立于业务单元</w:t>
      </w:r>
      <w:r>
        <w:rPr>
          <w:sz w:val="15"/>
          <w:vertAlign w:val="superscript"/>
        </w:rPr>
        <w:t>P248</w:t>
      </w:r>
      <w:r>
        <w:t>，而选项A把合规人员嵌在第一道防线内部并向业务线管理层汇报——汇报对象正是被监督的人。这直接破坏了结构独立性，与教材框架的核心要求方向相反。</w:t>
      </w:r>
    </w:p>
    <w:p>
      <w:pPr>
        <w:spacing w:before="120" w:after="40"/>
      </w:pPr>
      <w:r>
        <w:rPr>
          <w:b/>
          <w:sz w:val="21"/>
          <w:shd w:fill="D6E4F0" w:val="clear"/>
        </w:rPr>
        <w:t>B项错误：</w:t>
      </w:r>
    </w:p>
    <w:p>
      <w:pPr>
        <w:spacing w:line="360" w:lineRule="auto" w:after="40"/>
        <w:ind w:firstLine="420"/>
      </w:pPr>
      <w:r>
        <w:t>教材虽然承认外包是可选方案</w:t>
      </w:r>
      <w:r>
        <w:rPr>
          <w:sz w:val="15"/>
          <w:vertAlign w:val="superscript"/>
        </w:rPr>
        <w:t>P380</w:t>
      </w:r>
      <w:r>
        <w:t>，但同时明确“最终责任和风险归属始终在金融机构自身”。外包不等于独立，甚至可能因外部供应商的激励结构与机构合规目标不一致，带来新的控制难题。题干问的是保障独立性的措施，外包能力与独立性是两个不同维度的问题。</w:t>
      </w:r>
    </w:p>
    <w:p>
      <w:pPr>
        <w:spacing w:before="120" w:after="40"/>
      </w:pPr>
      <w:r>
        <w:rPr>
          <w:b/>
          <w:sz w:val="21"/>
          <w:shd w:fill="D6E4F0" w:val="clear"/>
        </w:rPr>
        <w:t>D项错误：</w:t>
      </w:r>
    </w:p>
    <w:p>
      <w:pPr>
        <w:spacing w:line="360" w:lineRule="auto" w:after="40"/>
        <w:ind w:firstLine="420"/>
      </w:pPr>
      <w:r>
        <w:t>教材强调第二道防线应独立于业务线，并具有适当权威和直接汇报渠道</w:t>
      </w:r>
      <w:r>
        <w:rPr>
          <w:sz w:val="15"/>
          <w:vertAlign w:val="superscript"/>
        </w:rPr>
        <w:t>P248</w:t>
      </w:r>
      <w:r>
        <w:t>。CFO的具体职责和治理地位可能因机构而异，但D项没有像C项那样明确把汇报线置于合规或其他第二道防线内部控制职能之中，因此对独立性的保障不如C直接。</w:t>
      </w:r>
    </w:p>
    <w:p>
      <w:pPr>
        <w:spacing w:before="120" w:after="40"/>
      </w:pPr>
      <w:r>
        <w:rPr>
          <w:b/>
          <w:sz w:val="21"/>
          <w:shd w:fill="D6E4F0" w:val="clear"/>
        </w:rPr>
        <w:t>易错提醒：</w:t>
      </w:r>
    </w:p>
    <w:p>
      <w:pPr>
        <w:spacing w:line="360" w:lineRule="auto" w:after="40"/>
        <w:ind w:firstLine="420"/>
      </w:pPr>
      <w:r>
        <w:t>“汇报独立性”不等于仅仅向职位更高的人汇报。核心判断标准是汇报安排能否使合规人员独立于被监督的业务线，并获得适当的权威、资源和信息访问权限</w:t>
      </w:r>
      <w:r>
        <w:rPr>
          <w:sz w:val="15"/>
          <w:vertAlign w:val="superscript"/>
        </w:rPr>
        <w:t>P248</w:t>
      </w:r>
      <w:r>
        <w:t>。</w:t>
      </w:r>
    </w:p>
    <w:p>
      <w:pPr>
        <w:spacing w:line="360" w:lineRule="auto" w:after="120"/>
      </w:pPr>
      <w:r/>
    </w:p>
    <w:p>
      <w:pPr>
        <w:spacing w:line="360" w:lineRule="auto" w:after="40"/>
      </w:pPr>
      <w:r>
        <w:t>6. An internal audit team is reviewing the anti-financial crime (AFC) program of its firm. Which of the following attributes of the third line of defense would be most critical to ensure unbiased and effective oversight?</w:t>
      </w:r>
    </w:p>
    <w:p>
      <w:pPr>
        <w:spacing w:line="360" w:lineRule="auto" w:after="20"/>
        <w:ind w:firstLine="283"/>
      </w:pPr>
      <w:r>
        <w:t>A. Consistency of approach</w:t>
      </w:r>
    </w:p>
    <w:p>
      <w:pPr>
        <w:spacing w:line="360" w:lineRule="auto" w:after="20"/>
        <w:ind w:firstLine="283"/>
      </w:pPr>
      <w:r>
        <w:t>B. Periodic training of the function</w:t>
      </w:r>
    </w:p>
    <w:p>
      <w:pPr>
        <w:spacing w:line="360" w:lineRule="auto" w:after="20"/>
        <w:ind w:firstLine="283"/>
      </w:pPr>
      <w:r>
        <w:t>C. Qualifications of the team</w:t>
      </w:r>
    </w:p>
    <w:p>
      <w:pPr>
        <w:spacing w:line="360" w:lineRule="auto" w:after="20"/>
        <w:ind w:firstLine="283"/>
      </w:pPr>
      <w:r>
        <w:t>D. Independent testing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三道防线模型中第三道防线的核心属性</w:t>
      </w:r>
    </w:p>
    <w:p>
      <w:pPr>
        <w:spacing w:before="120" w:after="40"/>
      </w:pPr>
      <w:r>
        <w:rPr>
          <w:b/>
          <w:sz w:val="21"/>
          <w:shd w:fill="D6E4F0" w:val="clear"/>
        </w:rPr>
        <w:t>核心解析：</w:t>
      </w:r>
    </w:p>
    <w:p>
      <w:pPr>
        <w:spacing w:line="360" w:lineRule="auto" w:after="40"/>
        <w:ind w:firstLine="420"/>
      </w:pPr>
      <w:r>
        <w:t>第三道防线即内部审计职能</w:t>
      </w:r>
      <w:r>
        <w:rPr>
          <w:sz w:val="15"/>
          <w:vertAlign w:val="superscript"/>
        </w:rPr>
        <w:t>P256</w:t>
      </w:r>
      <w:r>
        <w:t>。其核心属性是独立运作——“独立于前两道防线运作”</w:t>
      </w:r>
      <w:r>
        <w:rPr>
          <w:sz w:val="15"/>
          <w:vertAlign w:val="superscript"/>
        </w:rPr>
        <w:t>P256</w:t>
      </w:r>
      <w:r>
        <w:t>，“独立审查前两道防线的风险管理与控制有效性”</w:t>
      </w:r>
      <w:r>
        <w:rPr>
          <w:sz w:val="15"/>
          <w:vertAlign w:val="superscript"/>
        </w:rPr>
        <w:t>P246</w:t>
      </w:r>
      <w:r>
        <w:t>，并“提供关于控制环境有效性的客观意见”</w:t>
      </w:r>
      <w:r>
        <w:rPr>
          <w:sz w:val="15"/>
          <w:vertAlign w:val="superscript"/>
        </w:rPr>
        <w:t>P257</w:t>
      </w:r>
      <w:r>
        <w:t>。题干问的是确保监督“公正性（unbiased）”和“有效性（effective）”最关键的条件。</w:t>
      </w:r>
      <w:r>
        <w:rPr>
          <w:b/>
        </w:rPr>
        <w:t>公正性直接来源于独立性</w:t>
      </w:r>
      <w:r>
        <w:t>——只有独立于被审查对象（第一、二道防线），才能做到不偏不倚。这一逻辑在教材多处被反复强调，独立测试/独立审计是第三道防线区别于其他防线的根本特征（P244, P289）。相比之下，其他选项虽然也重要，但它们可以适用于任一防线，并非第三道防线“公正性”的直接来源。</w:t>
      </w:r>
    </w:p>
    <w:p>
      <w:pPr>
        <w:spacing w:before="120" w:after="40"/>
      </w:pPr>
      <w:r>
        <w:rPr>
          <w:b/>
          <w:sz w:val="21"/>
          <w:shd w:fill="D6E4F0" w:val="clear"/>
        </w:rPr>
        <w:t>教材原句：</w:t>
      </w:r>
    </w:p>
    <w:p>
      <w:pPr>
        <w:spacing w:line="360" w:lineRule="auto" w:after="40"/>
        <w:ind w:firstLine="420"/>
      </w:pPr>
      <w:r>
        <w:t>"The third line, internal audit, independently reviews risk management and control effectiveness applied by the first two lines."</w:t>
      </w:r>
    </w:p>
    <w:p>
      <w:pPr>
        <w:spacing w:before="120" w:after="40"/>
      </w:pPr>
      <w:r>
        <w:rPr>
          <w:b/>
          <w:sz w:val="21"/>
          <w:shd w:fill="D6E4F0" w:val="clear"/>
        </w:rPr>
        <w:t>A项错误：</w:t>
      </w:r>
    </w:p>
    <w:p>
      <w:pPr>
        <w:spacing w:line="360" w:lineRule="auto" w:after="40"/>
        <w:ind w:firstLine="420"/>
      </w:pPr>
      <w:r>
        <w:t>方法的一致性在教材中与控制有效性相关——“控制有效性取决于正确应用、功能性和全组织的一致性”</w:t>
      </w:r>
      <w:r>
        <w:rPr>
          <w:sz w:val="15"/>
          <w:vertAlign w:val="superscript"/>
        </w:rPr>
        <w:t>P278</w:t>
      </w:r>
      <w:r>
        <w:t>，但它描述的是控制措施本身的属性，不特指第三道防线。第一道防线的运营执行和第二道防线的合规监控同样需要方法一致性，它无法体现第三道防线“公正性”所需的独立立场。</w:t>
      </w:r>
    </w:p>
    <w:p>
      <w:pPr>
        <w:spacing w:before="120" w:after="40"/>
      </w:pPr>
      <w:r>
        <w:rPr>
          <w:b/>
          <w:sz w:val="21"/>
          <w:shd w:fill="D6E4F0" w:val="clear"/>
        </w:rPr>
        <w:t>B项错误：</w:t>
      </w:r>
    </w:p>
    <w:p>
      <w:pPr>
        <w:spacing w:line="360" w:lineRule="auto" w:after="40"/>
        <w:ind w:firstLine="420"/>
      </w:pPr>
      <w:r>
        <w:t>持续培训在教材中被列为反洗钱项目五大支柱中的第三大支柱，适用于全体员工</w:t>
      </w:r>
      <w:r>
        <w:rPr>
          <w:sz w:val="15"/>
          <w:vertAlign w:val="superscript"/>
        </w:rPr>
        <w:t>P245</w:t>
      </w:r>
      <w:r>
        <w:t>。它更多指向人员技能提升，而题干问的是第三道防线结构性如何保证监督不偏不倚。培训有助于“有效性”但无法从结构上保证“公正性”——第一、二道防线接受同样培训，但教材强调的是通过独立测试获得客观意见</w:t>
      </w:r>
      <w:r>
        <w:rPr>
          <w:sz w:val="15"/>
          <w:vertAlign w:val="superscript"/>
        </w:rPr>
        <w:t>P257</w:t>
      </w:r>
      <w:r>
        <w:t>。</w:t>
      </w:r>
    </w:p>
    <w:p>
      <w:pPr>
        <w:spacing w:before="120" w:after="40"/>
      </w:pPr>
      <w:r>
        <w:rPr>
          <w:b/>
          <w:sz w:val="21"/>
          <w:shd w:fill="D6E4F0" w:val="clear"/>
        </w:rPr>
        <w:t>C项错误：</w:t>
      </w:r>
    </w:p>
    <w:p>
      <w:pPr>
        <w:spacing w:line="360" w:lineRule="auto" w:after="40"/>
        <w:ind w:firstLine="420"/>
      </w:pPr>
      <w:r>
        <w:t>教材提到独立审计职能须具备足够知识经验</w:t>
      </w:r>
      <w:r>
        <w:rPr>
          <w:sz w:val="15"/>
          <w:vertAlign w:val="superscript"/>
        </w:rPr>
        <w:t>P245</w:t>
      </w:r>
      <w:r>
        <w:t>，团队资质是独立审计有效运作的条件之一。但题干问的是何种“属性”对公正性和有效性“最为关键”，独立测试本身就是该属性的体现——资质是支撑独立测试执行的前提，而非定义第三道防线区别于其他防线的核心属性。</w:t>
      </w:r>
    </w:p>
    <w:p>
      <w:pPr>
        <w:spacing w:before="120" w:after="40"/>
      </w:pPr>
      <w:r>
        <w:rPr>
          <w:b/>
          <w:sz w:val="21"/>
          <w:shd w:fill="D6E4F0" w:val="clear"/>
        </w:rPr>
        <w:t>易错提醒：</w:t>
      </w:r>
    </w:p>
    <w:p>
      <w:pPr>
        <w:spacing w:line="360" w:lineRule="auto" w:after="40"/>
        <w:ind w:firstLine="420"/>
      </w:pPr>
      <w:r>
        <w:t>容易将“独立审计有效运作的条件”误判为“独立审计本身的定义属性”。团队资质、培训、方法一致性都是支撑条件，但它们可能适用于任一防线。第三道防线的定义性特征是“独立”——它在组织架构上独立于前两道防线，正因为独立，才能出具不偏不倚的客观意见（P246, P257）。</w:t>
      </w:r>
    </w:p>
    <w:p>
      <w:pPr>
        <w:spacing w:line="360" w:lineRule="auto" w:after="120"/>
      </w:pPr>
      <w:r/>
    </w:p>
    <w:p>
      <w:pPr>
        <w:spacing w:line="360" w:lineRule="auto" w:after="40"/>
      </w:pPr>
      <w:r>
        <w:t>7. As emphasized in the Basel Committee guidance for Sound management of risks related to money laundering and financing of terrorism, the third line of defense, or audit function, should:</w:t>
      </w:r>
    </w:p>
    <w:p>
      <w:pPr>
        <w:spacing w:line="360" w:lineRule="auto" w:after="20"/>
        <w:ind w:firstLine="283"/>
      </w:pPr>
      <w:r>
        <w:t>A. Conduct AML audits no less often than every 12 months for consistency in annual reporting</w:t>
      </w:r>
    </w:p>
    <w:p>
      <w:pPr>
        <w:spacing w:line="360" w:lineRule="auto" w:after="20"/>
        <w:ind w:firstLine="283"/>
      </w:pPr>
      <w:r>
        <w:t>B. Remain independent from expressing opinions on the sufficiency of remediation or action plans to address findings and recommendations</w:t>
      </w:r>
    </w:p>
    <w:p>
      <w:pPr>
        <w:spacing w:line="360" w:lineRule="auto" w:after="20"/>
        <w:ind w:firstLine="283"/>
      </w:pPr>
      <w:r>
        <w:t>C. Be involved in the day-to-day operations of the AML program to immediately prevent control failures</w:t>
      </w:r>
    </w:p>
    <w:p>
      <w:pPr>
        <w:spacing w:line="360" w:lineRule="auto" w:after="20"/>
        <w:ind w:firstLine="283"/>
      </w:pPr>
      <w:r>
        <w:t>D. Report to the audit committee of the board to maintain independence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识别第三道防线审计职能的独立性要求与报告路径</w:t>
      </w:r>
    </w:p>
    <w:p>
      <w:pPr>
        <w:spacing w:before="120" w:after="40"/>
      </w:pPr>
      <w:r>
        <w:rPr>
          <w:b/>
          <w:sz w:val="21"/>
          <w:shd w:fill="D6E4F0" w:val="clear"/>
        </w:rPr>
        <w:t>核心解析：</w:t>
      </w:r>
    </w:p>
    <w:p>
      <w:pPr>
        <w:spacing w:line="360" w:lineRule="auto" w:after="40"/>
        <w:ind w:firstLine="420"/>
      </w:pPr>
      <w:r>
        <w:t>第三道防线独立于第一、二道防线运作，负责交叉检查前两道防线的风险管理和控制是否有效</w:t>
      </w:r>
      <w:r>
        <w:rPr>
          <w:sz w:val="15"/>
          <w:vertAlign w:val="superscript"/>
        </w:rPr>
        <w:t>P256</w:t>
      </w:r>
      <w:r>
        <w:t>。为了使审计结论不受业务优先事项影响，独立审计职能应</w:t>
      </w:r>
      <w:r>
        <w:rPr>
          <w:b/>
        </w:rPr>
        <w:t>直接向审计委员会或董事会报告</w:t>
      </w:r>
      <w:r>
        <w:rPr>
          <w:sz w:val="15"/>
          <w:vertAlign w:val="superscript"/>
        </w:rPr>
        <w:t>P256</w:t>
      </w:r>
      <w:r>
        <w:t>。题干问巴塞尔委员会所强调的第三道防线要求，选项D“向董事会审计委员会报告以保持独立性”与这一报告路径直接对应。</w:t>
      </w:r>
    </w:p>
    <w:p>
      <w:pPr>
        <w:spacing w:before="120" w:after="40"/>
      </w:pPr>
      <w:r>
        <w:rPr>
          <w:b/>
          <w:sz w:val="21"/>
          <w:shd w:fill="D6E4F0" w:val="clear"/>
        </w:rPr>
        <w:t>教材原句：</w:t>
      </w:r>
    </w:p>
    <w:p>
      <w:pPr>
        <w:spacing w:line="360" w:lineRule="auto" w:after="40"/>
        <w:ind w:firstLine="420"/>
      </w:pPr>
      <w:r>
        <w:t>"In a robust AML program, the independent audit function reports directly to the audit committee or board of directors. This ensures that the findings are independent and not influenced by any other priorities."</w:t>
      </w:r>
    </w:p>
    <w:p>
      <w:pPr>
        <w:spacing w:before="120" w:after="40"/>
      </w:pPr>
      <w:r>
        <w:rPr>
          <w:b/>
          <w:sz w:val="21"/>
          <w:shd w:fill="D6E4F0" w:val="clear"/>
        </w:rPr>
        <w:t>A项错误：</w:t>
      </w:r>
    </w:p>
    <w:p>
      <w:pPr>
        <w:spacing w:line="360" w:lineRule="auto" w:after="40"/>
        <w:ind w:firstLine="420"/>
      </w:pPr>
      <w:r>
        <w:t>选项A把审计频率固定为“不得低于每12个月一次”，并把目的限定为保持年度报告一致性。第三道防线的关键要求是独立于前两道防线开展评价，并直接向审计委员会或董事会报告</w:t>
      </w:r>
      <w:r>
        <w:rPr>
          <w:sz w:val="15"/>
          <w:vertAlign w:val="superscript"/>
        </w:rPr>
        <w:t>P256</w:t>
      </w:r>
      <w:r>
        <w:t>；固定的12个月周期和年度报告一致性并非这一职能的定义性要求。</w:t>
      </w:r>
    </w:p>
    <w:p>
      <w:pPr>
        <w:spacing w:before="120" w:after="40"/>
      </w:pPr>
      <w:r>
        <w:rPr>
          <w:b/>
          <w:sz w:val="21"/>
          <w:shd w:fill="D6E4F0" w:val="clear"/>
        </w:rPr>
        <w:t>B项错误：</w:t>
      </w:r>
    </w:p>
    <w:p>
      <w:pPr>
        <w:spacing w:line="360" w:lineRule="auto" w:after="40"/>
        <w:ind w:firstLine="420"/>
      </w:pPr>
      <w:r>
        <w:t>独立性是指第三道防线独立于前两道防线运作</w:t>
      </w:r>
      <w:r>
        <w:rPr>
          <w:sz w:val="15"/>
          <w:vertAlign w:val="superscript"/>
        </w:rPr>
        <w:t>P256</w:t>
      </w:r>
      <w:r>
        <w:t>，不是不发表专业意见。独立审计需要识别并沟通控制缺陷，并对控制环境有效性提供客观意见</w:t>
      </w:r>
      <w:r>
        <w:rPr>
          <w:sz w:val="15"/>
          <w:vertAlign w:val="superscript"/>
        </w:rPr>
        <w:t>P257</w:t>
      </w:r>
      <w:r>
        <w:t>；因此，把“不对补救措施或行动计划的充分性发表意见”说成保持独立的方式，与审计职能的客观评价定位不符。</w:t>
      </w:r>
    </w:p>
    <w:p>
      <w:pPr>
        <w:spacing w:before="120" w:after="40"/>
      </w:pPr>
      <w:r>
        <w:rPr>
          <w:b/>
          <w:sz w:val="21"/>
          <w:shd w:fill="D6E4F0" w:val="clear"/>
        </w:rPr>
        <w:t>C项错误：</w:t>
      </w:r>
    </w:p>
    <w:p>
      <w:pPr>
        <w:spacing w:line="360" w:lineRule="auto" w:after="40"/>
        <w:ind w:firstLine="420"/>
      </w:pPr>
      <w:r>
        <w:t>日常执行和一线运营管理属于第一道防线</w:t>
      </w:r>
      <w:r>
        <w:rPr>
          <w:sz w:val="15"/>
          <w:vertAlign w:val="superscript"/>
        </w:rPr>
        <w:t>P256</w:t>
      </w:r>
      <w:r>
        <w:t>，第三道防线则独立交叉检查前两道防线的有效性</w:t>
      </w:r>
      <w:r>
        <w:rPr>
          <w:sz w:val="15"/>
          <w:vertAlign w:val="superscript"/>
        </w:rPr>
        <w:t>P256</w:t>
      </w:r>
      <w:r>
        <w:t>。若审计人员参与反洗钱计划的日常运作，就会审查自己参与实施的控制，不符合其独立评价角色。</w:t>
      </w:r>
    </w:p>
    <w:p>
      <w:pPr>
        <w:spacing w:before="120" w:after="40"/>
      </w:pPr>
      <w:r>
        <w:rPr>
          <w:b/>
          <w:sz w:val="21"/>
          <w:shd w:fill="D6E4F0" w:val="clear"/>
        </w:rPr>
        <w:t>易错提醒：</w:t>
      </w:r>
    </w:p>
    <w:p>
      <w:pPr>
        <w:spacing w:line="360" w:lineRule="auto" w:after="40"/>
        <w:ind w:firstLine="420"/>
      </w:pPr>
      <w:r>
        <w:t>独立性与“不发表意见”不是一回事：独立性解决的是审计与被审计业务之间的组织关系，直接向审计委员会或董事会报告是结构性保障</w:t>
      </w:r>
      <w:r>
        <w:rPr>
          <w:sz w:val="15"/>
          <w:vertAlign w:val="superscript"/>
        </w:rPr>
        <w:t>P256</w:t>
      </w:r>
      <w:r>
        <w:t>；审计输出仍应识别、沟通缺陷并对控制有效性给出客观意见</w:t>
      </w:r>
      <w:r>
        <w:rPr>
          <w:sz w:val="15"/>
          <w:vertAlign w:val="superscript"/>
        </w:rPr>
        <w:t>P257</w:t>
      </w:r>
      <w:r>
        <w:t>。</w:t>
      </w:r>
    </w:p>
    <w:p>
      <w:pPr>
        <w:spacing w:line="360" w:lineRule="auto" w:after="120"/>
      </w:pPr>
      <w:r/>
    </w:p>
    <w:p>
      <w:pPr>
        <w:spacing w:line="360" w:lineRule="auto" w:after="40"/>
      </w:pPr>
      <w:r>
        <w:t>8. The first line of defense is responsible for:</w:t>
      </w:r>
    </w:p>
    <w:p>
      <w:pPr>
        <w:spacing w:line="360" w:lineRule="auto" w:after="20"/>
        <w:ind w:firstLine="283"/>
      </w:pPr>
      <w:r>
        <w:t>A. Collecting complete customer information</w:t>
      </w:r>
    </w:p>
    <w:p>
      <w:pPr>
        <w:spacing w:line="360" w:lineRule="auto" w:after="20"/>
        <w:ind w:firstLine="283"/>
      </w:pPr>
      <w:r>
        <w:t>B. Ongoing screening of customers</w:t>
      </w:r>
    </w:p>
    <w:p>
      <w:pPr>
        <w:spacing w:line="360" w:lineRule="auto" w:after="20"/>
        <w:ind w:firstLine="283"/>
      </w:pPr>
      <w:r>
        <w:t>C. Suspicious activity and sanctions reporting</w:t>
      </w:r>
    </w:p>
    <w:p>
      <w:pPr>
        <w:spacing w:line="360" w:lineRule="auto" w:after="20"/>
        <w:ind w:firstLine="283"/>
      </w:pPr>
      <w:r>
        <w:t>D. Evaluating the effectiveness of compliance controls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三道防线模型中第一道防线的核心职责界定</w:t>
      </w:r>
    </w:p>
    <w:p>
      <w:pPr>
        <w:spacing w:before="120" w:after="40"/>
      </w:pPr>
      <w:r>
        <w:rPr>
          <w:b/>
          <w:sz w:val="21"/>
          <w:shd w:fill="D6E4F0" w:val="clear"/>
        </w:rPr>
        <w:t>核心解析：</w:t>
      </w:r>
    </w:p>
    <w:p>
      <w:pPr>
        <w:spacing w:line="360" w:lineRule="auto" w:after="40"/>
        <w:ind w:firstLine="420"/>
      </w:pPr>
      <w:r>
        <w:t>三道防线是一种风险治理模型，在全企业分配风险管理职责</w:t>
      </w:r>
      <w:r>
        <w:rPr>
          <w:sz w:val="15"/>
          <w:vertAlign w:val="superscript"/>
        </w:rPr>
        <w:t>P246</w:t>
      </w:r>
      <w:r>
        <w:t>。第一道防线由面向客户的员工组成，负责实施金融犯罪防控政策与程序、促进合规并执行客户尽职调查（CDD）</w:t>
      </w:r>
      <w:r>
        <w:rPr>
          <w:sz w:val="15"/>
          <w:vertAlign w:val="superscript"/>
        </w:rPr>
        <w:t>P246</w:t>
      </w:r>
      <w:r>
        <w:t>。客户尽职调查的核心环节之一，就是在开户时通过“了解你的客户”（KYC）流程</w:t>
      </w:r>
      <w:r>
        <w:rPr>
          <w:b/>
        </w:rPr>
        <w:t>收集客户的身份、业务活动和所需产品等信息</w:t>
      </w:r>
      <w:r>
        <w:rPr>
          <w:sz w:val="15"/>
          <w:vertAlign w:val="superscript"/>
        </w:rPr>
        <w:t>P285</w:t>
      </w:r>
      <w:r>
        <w:t>。题干中“收集完整的客户信息”正是执行客户尽职调查（CDD）这一第一道防线核心职责的具体体现，直接匹配教材对第一道防线的定义。</w:t>
      </w:r>
    </w:p>
    <w:p>
      <w:pPr>
        <w:spacing w:before="120" w:after="40"/>
      </w:pPr>
      <w:r>
        <w:rPr>
          <w:b/>
          <w:sz w:val="21"/>
          <w:shd w:fill="D6E4F0" w:val="clear"/>
        </w:rPr>
        <w:t>教材原句：</w:t>
      </w:r>
    </w:p>
    <w:p>
      <w:pPr>
        <w:spacing w:line="360" w:lineRule="auto" w:after="40"/>
        <w:ind w:firstLine="420"/>
      </w:pPr>
      <w:r>
        <w:t>"The first line of defense (LOD), the front line, consists of customer-facing employees who implement AFC policies and procedures, promote compliance, and perform CDD."</w:t>
      </w:r>
    </w:p>
    <w:p>
      <w:pPr>
        <w:spacing w:before="120" w:after="40"/>
      </w:pPr>
      <w:r>
        <w:rPr>
          <w:b/>
          <w:sz w:val="21"/>
          <w:shd w:fill="D6E4F0" w:val="clear"/>
        </w:rPr>
        <w:t>B项错误：</w:t>
      </w:r>
    </w:p>
    <w:p>
      <w:pPr>
        <w:spacing w:line="360" w:lineRule="auto" w:after="40"/>
        <w:ind w:firstLine="420"/>
      </w:pPr>
      <w:r>
        <w:t>教材确实把筛查列为第一道防线运营团队可自动化的任务之一</w:t>
      </w:r>
      <w:r>
        <w:rPr>
          <w:sz w:val="15"/>
          <w:vertAlign w:val="superscript"/>
        </w:rPr>
        <w:t>P249</w:t>
      </w:r>
      <w:r>
        <w:t>，因此不能把所有筛查动作绝对归给第二道防线。但B强调的是“持续筛查”，没有像A一样直接对应教材对第一道防线“执行CDD”的明确职责</w:t>
      </w:r>
      <w:r>
        <w:rPr>
          <w:sz w:val="15"/>
          <w:vertAlign w:val="superscript"/>
        </w:rPr>
        <w:t>P246</w:t>
      </w:r>
      <w:r>
        <w:t>；A所述收集客户信息是CDD/KYC的基础步骤</w:t>
      </w:r>
      <w:r>
        <w:rPr>
          <w:sz w:val="15"/>
          <w:vertAlign w:val="superscript"/>
        </w:rPr>
        <w:t>P285</w:t>
      </w:r>
      <w:r>
        <w:t>，匹配度更高。</w:t>
      </w:r>
    </w:p>
    <w:p>
      <w:pPr>
        <w:spacing w:before="120" w:after="40"/>
      </w:pPr>
      <w:r>
        <w:rPr>
          <w:b/>
          <w:sz w:val="21"/>
          <w:shd w:fill="D6E4F0" w:val="clear"/>
        </w:rPr>
        <w:t>C项错误：</w:t>
      </w:r>
    </w:p>
    <w:p>
      <w:pPr>
        <w:spacing w:line="360" w:lineRule="auto" w:after="40"/>
        <w:ind w:firstLine="420"/>
      </w:pPr>
      <w:r>
        <w:t>第二道防线承担向金融情报机构报告可疑活动的职责</w:t>
      </w:r>
      <w:r>
        <w:rPr>
          <w:sz w:val="15"/>
          <w:vertAlign w:val="superscript"/>
        </w:rPr>
        <w:t>P248</w:t>
      </w:r>
      <w:r>
        <w:t>。虽然不同类型的制裁报告还需结合具体制度确定责任主体，但选项中的“可疑活动报告”属于合规报告职责，而不是第一道防线执行CDD、收集客户信息的核心动作，因此C不如A匹配。</w:t>
      </w:r>
    </w:p>
    <w:p>
      <w:pPr>
        <w:spacing w:before="120" w:after="40"/>
      </w:pPr>
      <w:r>
        <w:rPr>
          <w:b/>
          <w:sz w:val="21"/>
          <w:shd w:fill="D6E4F0" w:val="clear"/>
        </w:rPr>
        <w:t>D项错误：</w:t>
      </w:r>
    </w:p>
    <w:p>
      <w:pPr>
        <w:spacing w:line="360" w:lineRule="auto" w:after="40"/>
        <w:ind w:firstLine="420"/>
      </w:pPr>
      <w:r>
        <w:t>控制有效性评估不宜绝对归给单一防线。第二道防线通过合规监测与测试监督控制是否按预期运行</w:t>
      </w:r>
      <w:r>
        <w:rPr>
          <w:sz w:val="15"/>
          <w:vertAlign w:val="superscript"/>
        </w:rPr>
        <w:t>P250</w:t>
      </w:r>
      <w:r>
        <w:t>；第三道防线则独立审查前两道防线的风险管理和控制有效性</w:t>
      </w:r>
      <w:r>
        <w:rPr>
          <w:sz w:val="15"/>
          <w:vertAlign w:val="superscript"/>
        </w:rPr>
        <w:t>P246</w:t>
      </w:r>
      <w:r>
        <w:t>。无论是二线监督测试还是三线独立保证，都不同于第一道防线直接执行CDD，因此D不如A匹配题干。</w:t>
      </w:r>
    </w:p>
    <w:p>
      <w:pPr>
        <w:spacing w:before="120" w:after="40"/>
      </w:pPr>
      <w:r>
        <w:rPr>
          <w:b/>
          <w:sz w:val="21"/>
          <w:shd w:fill="D6E4F0" w:val="clear"/>
        </w:rPr>
        <w:t>易错提醒：</w:t>
      </w:r>
    </w:p>
    <w:p>
      <w:pPr>
        <w:spacing w:line="360" w:lineRule="auto" w:after="40"/>
        <w:ind w:firstLine="420"/>
      </w:pPr>
      <w:r>
        <w:t>三道防线的边界应按职能区分：第一道防线执行政策、程序和CDD</w:t>
      </w:r>
      <w:r>
        <w:rPr>
          <w:sz w:val="15"/>
          <w:vertAlign w:val="superscript"/>
        </w:rPr>
        <w:t>P246</w:t>
      </w:r>
      <w:r>
        <w:t>；第二道防线制定政策并开展监督、监测与测试</w:t>
      </w:r>
      <w:r>
        <w:rPr>
          <w:sz w:val="15"/>
          <w:vertAlign w:val="superscript"/>
        </w:rPr>
        <w:t>P246、P250</w:t>
      </w:r>
      <w:r>
        <w:t>；第三道防线独立、客观地评估前两道防线及控制体系的有效性</w:t>
      </w:r>
      <w:r>
        <w:rPr>
          <w:sz w:val="15"/>
          <w:vertAlign w:val="superscript"/>
        </w:rPr>
        <w:t>P246</w:t>
      </w:r>
      <w:r>
        <w:t>。具体筛查动作可能由一线运营执行</w:t>
      </w:r>
      <w:r>
        <w:rPr>
          <w:sz w:val="15"/>
          <w:vertAlign w:val="superscript"/>
        </w:rPr>
        <w:t>P249</w:t>
      </w:r>
      <w:r>
        <w:t>，不能仅凭“筛查”二字机械归入第二道防线。</w:t>
      </w:r>
    </w:p>
    <w:p>
      <w:pPr>
        <w:spacing w:line="360" w:lineRule="auto" w:after="120"/>
      </w:pPr>
      <w:r/>
    </w:p>
    <w:p>
      <w:pPr>
        <w:spacing w:line="360" w:lineRule="auto" w:after="40"/>
      </w:pPr>
      <w:r>
        <w:t>9. Which line of defense would be tasked with interpreting new AML regulations and revising training for client-facing relationship managers?</w:t>
      </w:r>
    </w:p>
    <w:p>
      <w:pPr>
        <w:spacing w:line="360" w:lineRule="auto" w:after="20"/>
        <w:ind w:firstLine="283"/>
      </w:pPr>
      <w:r>
        <w:t>A. The first line</w:t>
      </w:r>
    </w:p>
    <w:p>
      <w:pPr>
        <w:spacing w:line="360" w:lineRule="auto" w:after="20"/>
        <w:ind w:firstLine="283"/>
      </w:pPr>
      <w:r>
        <w:t>B. The second line</w:t>
      </w:r>
    </w:p>
    <w:p>
      <w:pPr>
        <w:spacing w:line="360" w:lineRule="auto" w:after="20"/>
        <w:ind w:firstLine="283"/>
      </w:pPr>
      <w:r>
        <w:t>C. Senior management</w:t>
      </w:r>
    </w:p>
    <w:p>
      <w:pPr>
        <w:spacing w:line="360" w:lineRule="auto" w:after="20"/>
        <w:ind w:firstLine="283"/>
      </w:pPr>
      <w:r>
        <w:t>D. The third line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三道防线模型中各道防线的职责分工</w:t>
      </w:r>
    </w:p>
    <w:p>
      <w:pPr>
        <w:spacing w:before="120" w:after="40"/>
      </w:pPr>
      <w:r>
        <w:rPr>
          <w:b/>
          <w:sz w:val="21"/>
          <w:shd w:fill="D6E4F0" w:val="clear"/>
        </w:rPr>
        <w:t>核心解析：</w:t>
      </w:r>
    </w:p>
    <w:p>
      <w:pPr>
        <w:spacing w:line="360" w:lineRule="auto" w:after="40"/>
        <w:ind w:firstLine="420"/>
      </w:pPr>
      <w:r>
        <w:t>三道防线模型中，第二道防线定义为金融犯罪防控合规职能，负责政策制定与员工培训</w:t>
      </w:r>
      <w:r>
        <w:rPr>
          <w:sz w:val="15"/>
          <w:vertAlign w:val="superscript"/>
        </w:rPr>
        <w:t>P246</w:t>
      </w:r>
      <w:r>
        <w:t>。具体到培训职责，第二道防线审批关于监管要求、风险管理实践和员工职责的培训，确保面向客户的员工具备识别风险的能力</w:t>
      </w:r>
      <w:r>
        <w:rPr>
          <w:sz w:val="15"/>
          <w:vertAlign w:val="superscript"/>
        </w:rPr>
        <w:t>P261</w:t>
      </w:r>
      <w:r>
        <w:t>。题干问的是“解读新反洗钱法规并修订面向客户经理的培训内容”——解读新法规本质上是对监管要求的识别与政策更新，修订培训内容则是培训审批职能的自然延伸，两项动作都落在</w:t>
      </w:r>
      <w:r>
        <w:rPr>
          <w:b/>
        </w:rPr>
        <w:t>第二道防线的定义边界</w:t>
      </w:r>
      <w:r>
        <w:t>内。相比之下，第一道防线的职责是实施政策并执行CDD，通常是被培训的对象而非培训的制定审批者。</w:t>
      </w:r>
    </w:p>
    <w:p>
      <w:pPr>
        <w:spacing w:before="120" w:after="40"/>
      </w:pPr>
      <w:r>
        <w:rPr>
          <w:b/>
          <w:sz w:val="21"/>
          <w:shd w:fill="D6E4F0" w:val="clear"/>
        </w:rPr>
        <w:t>教材原句：</w:t>
      </w:r>
    </w:p>
    <w:p>
      <w:pPr>
        <w:spacing w:line="360" w:lineRule="auto" w:after="40"/>
        <w:ind w:firstLine="420"/>
      </w:pPr>
      <w:r>
        <w:t>"Education and training: The second line approves training on regulatory requirements, risk management practices, and staff responsibilities, ensuring client-facing staff are equipped to identify risks and comply with AFC policies."</w:t>
      </w:r>
    </w:p>
    <w:p>
      <w:pPr>
        <w:spacing w:before="120" w:after="40"/>
      </w:pPr>
      <w:r>
        <w:rPr>
          <w:b/>
          <w:sz w:val="21"/>
          <w:shd w:fill="D6E4F0" w:val="clear"/>
        </w:rPr>
        <w:t>A项错误：</w:t>
      </w:r>
    </w:p>
    <w:p>
      <w:pPr>
        <w:spacing w:line="360" w:lineRule="auto" w:after="40"/>
        <w:ind w:firstLine="420"/>
      </w:pPr>
      <w:r>
        <w:t>第一道防线由面向客户的员工组成，负责实施政策与程序</w:t>
      </w:r>
      <w:r>
        <w:rPr>
          <w:sz w:val="15"/>
          <w:vertAlign w:val="superscript"/>
        </w:rPr>
        <w:t>P246</w:t>
      </w:r>
      <w:r>
        <w:t>。题干涉及的动作是“解读新法规”和“修订培训内容”，这属于政策制定与培训审批范畴，而非政策执行范畴。教材中第一道防线的定义更匹配“接受培训并执行合规要求”的角色，而非“解读法规并制定培训”的角色。</w:t>
      </w:r>
    </w:p>
    <w:p>
      <w:pPr>
        <w:spacing w:before="120" w:after="40"/>
      </w:pPr>
      <w:r>
        <w:rPr>
          <w:b/>
          <w:sz w:val="21"/>
          <w:shd w:fill="D6E4F0" w:val="clear"/>
        </w:rPr>
        <w:t>C项错误：</w:t>
      </w:r>
    </w:p>
    <w:p>
      <w:pPr>
        <w:spacing w:line="360" w:lineRule="auto" w:after="40"/>
        <w:ind w:firstLine="420"/>
      </w:pPr>
      <w:r>
        <w:t>高级管理层在教材中的角色是利用风险评估报告来决定人员、资源、技术和培训的配置以降低风险，或批准高风险客户开户</w:t>
      </w:r>
      <w:r>
        <w:rPr>
          <w:sz w:val="15"/>
          <w:vertAlign w:val="superscript"/>
        </w:rPr>
        <w:t>P281、P312</w:t>
      </w:r>
      <w:r>
        <w:t>。题干描述的是具体操作层面的“解读法规并修订培训”，这更接近合规职能的日常工作，而非高级管理层基于报告做出的战略资源配置决策。</w:t>
      </w:r>
    </w:p>
    <w:p>
      <w:pPr>
        <w:spacing w:before="120" w:after="40"/>
      </w:pPr>
      <w:r>
        <w:rPr>
          <w:b/>
          <w:sz w:val="21"/>
          <w:shd w:fill="D6E4F0" w:val="clear"/>
        </w:rPr>
        <w:t>D项错误：</w:t>
      </w:r>
    </w:p>
    <w:p>
      <w:pPr>
        <w:spacing w:line="360" w:lineRule="auto" w:after="40"/>
        <w:ind w:firstLine="420"/>
      </w:pPr>
      <w:r>
        <w:t>第三道防线是内部审计职能，职责是独立审查前两道防线的风险管理与控制有效性</w:t>
      </w:r>
      <w:r>
        <w:rPr>
          <w:sz w:val="15"/>
          <w:vertAlign w:val="superscript"/>
        </w:rPr>
        <w:t>P246</w:t>
      </w:r>
      <w:r>
        <w:t>，其本质是事后的、独立的评估。解读新法规并修订培训内容是事中的合规管理活动，属于第二道防线的监督与政策职能范畴，而非第三道防线的审计审查范畴。</w:t>
      </w:r>
    </w:p>
    <w:p>
      <w:pPr>
        <w:spacing w:before="120" w:after="40"/>
      </w:pPr>
      <w:r>
        <w:rPr>
          <w:b/>
          <w:sz w:val="21"/>
          <w:shd w:fill="D6E4F0" w:val="clear"/>
        </w:rPr>
        <w:t>易错提醒：</w:t>
      </w:r>
    </w:p>
    <w:p>
      <w:pPr>
        <w:spacing w:line="360" w:lineRule="auto" w:after="40"/>
        <w:ind w:firstLine="420"/>
      </w:pPr>
      <w:r>
        <w:t>第一道防线与第二道防线在培训方面的角色容易混淆。第一道防线是培训的接收方——面向客户的员工接受培训以识别风险；第二道防线是培训的制定审批方——负责审批培训内容并确保其符合监管要求</w:t>
      </w:r>
      <w:r>
        <w:rPr>
          <w:sz w:val="15"/>
          <w:vertAlign w:val="superscript"/>
        </w:rPr>
        <w:t>P261</w:t>
      </w:r>
      <w:r>
        <w:t>。题干中的“修订培训内容”是制定方的行为，而非接收方。</w:t>
      </w:r>
    </w:p>
    <w:p>
      <w:pPr>
        <w:spacing w:line="360" w:lineRule="auto" w:after="120"/>
      </w:pPr>
      <w:r/>
    </w:p>
    <w:p>
      <w:pPr>
        <w:spacing w:line="360" w:lineRule="auto" w:after="40"/>
      </w:pPr>
      <w:r>
        <w:t>10. Which of the following laws or regulations can impact the application of AML/CFT programs and require financial institutions (FIs) to balance multiple compliance requirements?</w:t>
      </w:r>
    </w:p>
    <w:p>
      <w:pPr>
        <w:spacing w:line="360" w:lineRule="auto" w:after="20"/>
        <w:ind w:firstLine="283"/>
      </w:pPr>
      <w:r>
        <w:t>A. Consumer protection laws may intersect with AML/CFT requirements when handling customer complaints or disputes, potentially affecting how FIs implement their compliance programs</w:t>
      </w:r>
    </w:p>
    <w:p>
      <w:pPr>
        <w:spacing w:line="360" w:lineRule="auto" w:after="20"/>
        <w:ind w:firstLine="283"/>
      </w:pPr>
      <w:r>
        <w:t>B. AML/CFT laws are the primary focus for FIs, and other regulations like data privacy and consumer protection may only indirectly influence their compliance obligations</w:t>
      </w:r>
    </w:p>
    <w:p>
      <w:pPr>
        <w:spacing w:line="360" w:lineRule="auto" w:after="20"/>
        <w:ind w:firstLine="283"/>
      </w:pPr>
      <w:r>
        <w:t>C. Environmental, social, and governance (ESG) frameworks can influence an FI's risk management strategies but are generally considered separate from core AML/CFT compliance requirements</w:t>
      </w:r>
    </w:p>
    <w:p>
      <w:pPr>
        <w:spacing w:line="360" w:lineRule="auto" w:after="20"/>
        <w:ind w:firstLine="283"/>
      </w:pPr>
      <w:r>
        <w:t>D. Data privacy laws may restrict the sharing of customer information, while financial inclusion initiatives require FIs to avoid excessive de-risking that could exclude vulnerable populations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数据隐私、金融普惠与反洗钱合规的平衡</w:t>
      </w:r>
    </w:p>
    <w:p>
      <w:pPr>
        <w:spacing w:before="120" w:after="40"/>
      </w:pPr>
      <w:r>
        <w:rPr>
          <w:b/>
          <w:sz w:val="21"/>
          <w:shd w:fill="D6E4F0" w:val="clear"/>
        </w:rPr>
        <w:t>核心解析：</w:t>
      </w:r>
    </w:p>
    <w:p>
      <w:pPr>
        <w:spacing w:line="360" w:lineRule="auto" w:after="40"/>
        <w:ind w:firstLine="420"/>
      </w:pPr>
      <w:r>
        <w:t>题干要求识别会影响AML/CFT计划应用并要求金融机构平衡多项合规要求的法律或监管因素。D包含两组具体的平衡关系：第一，教材明确指出，组织为AML/CFT合规处理客户身份数据并同时遵守GDPR时，必须平衡两项要求</w:t>
      </w:r>
      <w:r>
        <w:rPr>
          <w:sz w:val="15"/>
          <w:vertAlign w:val="superscript"/>
        </w:rPr>
        <w:t>P263</w:t>
      </w:r>
      <w:r>
        <w:t>；教材还说明，数据隐私法可能限制个人数据的跨境传输</w:t>
      </w:r>
      <w:r>
        <w:rPr>
          <w:sz w:val="15"/>
          <w:vertAlign w:val="superscript"/>
        </w:rPr>
        <w:t>P209</w:t>
      </w:r>
      <w:r>
        <w:t>。第二，教材指出，金融普惠关注弱势和边缘化群体，并对抗金融机构为规避风险而终止或限制客户关系的去风险化；FATF也通过防止CDD标准被过度适用来促进金融普惠</w:t>
      </w:r>
      <w:r>
        <w:rPr>
          <w:sz w:val="15"/>
          <w:vertAlign w:val="superscript"/>
        </w:rPr>
        <w:t>P214</w:t>
      </w:r>
      <w:r>
        <w:t>。因此，D同时体现了</w:t>
      </w:r>
      <w:r>
        <w:rPr>
          <w:b/>
        </w:rPr>
        <w:t>数据使用与隐私保护</w:t>
      </w:r>
      <w:r>
        <w:t>、</w:t>
      </w:r>
      <w:r>
        <w:rPr>
          <w:b/>
        </w:rPr>
        <w:t>AFC风险控制与避免金融排斥</w:t>
      </w:r>
      <w:r>
        <w:t>之间的平衡，最完整地对应题干。</w:t>
      </w:r>
    </w:p>
    <w:p>
      <w:pPr>
        <w:spacing w:before="120" w:after="40"/>
      </w:pPr>
      <w:r>
        <w:rPr>
          <w:b/>
          <w:sz w:val="21"/>
          <w:shd w:fill="D6E4F0" w:val="clear"/>
        </w:rPr>
        <w:t>A项错误：</w:t>
      </w:r>
    </w:p>
    <w:p>
      <w:pPr>
        <w:spacing w:line="360" w:lineRule="auto" w:after="40"/>
        <w:ind w:firstLine="420"/>
      </w:pPr>
      <w:r>
        <w:t>AFC合规可以通过打击欺诈、勒索软件等犯罪所得的洗钱活动间接增强消费者保护</w:t>
      </w:r>
      <w:r>
        <w:rPr>
          <w:sz w:val="15"/>
          <w:vertAlign w:val="superscript"/>
        </w:rPr>
        <w:t>P214</w:t>
      </w:r>
      <w:r>
        <w:t>，但A所述客户投诉或纠纷没有说明具体需要协调哪些相互制约的合规要求。D则明确涉及数据隐私限制和防止过度去风险化两方面要求，与题干更直接匹配。</w:t>
      </w:r>
    </w:p>
    <w:p>
      <w:pPr>
        <w:spacing w:before="120" w:after="40"/>
      </w:pPr>
      <w:r>
        <w:rPr>
          <w:b/>
          <w:sz w:val="21"/>
          <w:shd w:fill="D6E4F0" w:val="clear"/>
        </w:rPr>
        <w:t>B项错误：</w:t>
      </w:r>
    </w:p>
    <w:p>
      <w:pPr>
        <w:spacing w:line="360" w:lineRule="auto" w:after="40"/>
        <w:ind w:firstLine="420"/>
      </w:pPr>
      <w:r>
        <w:t>B将数据隐私等其他法规概括为可能“只是间接影响”。但教材明确指出，在为AML/CFT合规处理客户身份数据并遵守GDPR时，组织必须平衡两项要求</w:t>
      </w:r>
      <w:r>
        <w:rPr>
          <w:sz w:val="15"/>
          <w:vertAlign w:val="superscript"/>
        </w:rPr>
        <w:t>P263</w:t>
      </w:r>
      <w:r>
        <w:t>。可见数据隐私可能直接影响合规实施，B低估了这种影响。</w:t>
      </w:r>
    </w:p>
    <w:p>
      <w:pPr>
        <w:spacing w:before="120" w:after="40"/>
      </w:pPr>
      <w:r>
        <w:rPr>
          <w:b/>
          <w:sz w:val="21"/>
          <w:shd w:fill="D6E4F0" w:val="clear"/>
        </w:rPr>
        <w:t>C项错误：</w:t>
      </w:r>
    </w:p>
    <w:p>
      <w:pPr>
        <w:spacing w:line="360" w:lineRule="auto" w:after="40"/>
        <w:ind w:firstLine="420"/>
      </w:pPr>
      <w:r>
        <w:t>C称ESG框架通常与核心AML/CFT要求分开，而教材明确指出，随着全球监管框架演进，ESG与AML/CFT法规正在趋于融合</w:t>
      </w:r>
      <w:r>
        <w:rPr>
          <w:sz w:val="15"/>
          <w:vertAlign w:val="superscript"/>
        </w:rPr>
        <w:t>P217</w:t>
      </w:r>
      <w:r>
        <w:t>。教材表述与C的概括不一致；相比之下，D对多重合规要求的平衡描述更直接。</w:t>
      </w:r>
    </w:p>
    <w:p>
      <w:pPr>
        <w:spacing w:before="120" w:after="40"/>
      </w:pPr>
      <w:r>
        <w:rPr>
          <w:b/>
          <w:sz w:val="21"/>
          <w:shd w:fill="D6E4F0" w:val="clear"/>
        </w:rPr>
        <w:t>易错提醒：</w:t>
      </w:r>
    </w:p>
    <w:p>
      <w:pPr>
        <w:spacing w:line="360" w:lineRule="auto" w:after="40"/>
        <w:ind w:firstLine="420"/>
      </w:pPr>
      <w:r>
        <w:t>不能把“与AFC存在联系”直接等同于“要求平衡多项合规要求”。本题应检查选项是否说明具体的协调对象：D一方面涉及AML/CFT数据处理与隐私限制</w:t>
      </w:r>
      <w:r>
        <w:rPr>
          <w:sz w:val="15"/>
          <w:vertAlign w:val="superscript"/>
        </w:rPr>
        <w:t>P209、P263</w:t>
      </w:r>
      <w:r>
        <w:t>，另一方面涉及AFC风险控制与金融普惠对过度去风险化的约束</w:t>
      </w:r>
      <w:r>
        <w:rPr>
          <w:sz w:val="15"/>
          <w:vertAlign w:val="superscript"/>
        </w:rPr>
        <w:t>P214</w:t>
      </w:r>
      <w:r>
        <w:t>，因而比只描述一般性交集的选项更符合题干。</w:t>
      </w:r>
    </w:p>
    <w:p>
      <w:pPr>
        <w:spacing w:line="360" w:lineRule="auto" w:after="120"/>
      </w:pPr>
      <w:r/>
    </w:p>
    <w:p>
      <w:pPr>
        <w:spacing w:line="360" w:lineRule="auto" w:after="40"/>
      </w:pPr>
      <w:r>
        <w:t>11. How can awareness be raised within countries that do not have sanctions regulatory regimes? (Select Two.)</w:t>
      </w:r>
    </w:p>
    <w:p>
      <w:pPr>
        <w:spacing w:line="360" w:lineRule="auto" w:after="20"/>
        <w:ind w:firstLine="283"/>
      </w:pPr>
      <w:r>
        <w:t>A. Restrict trade between countries that have robust AML/CFT and sanctions regulatory regimes and those that do not.</w:t>
      </w:r>
    </w:p>
    <w:p>
      <w:pPr>
        <w:spacing w:line="360" w:lineRule="auto" w:after="20"/>
        <w:ind w:firstLine="283"/>
      </w:pPr>
      <w:r>
        <w:t>B. Conduct AFC (Anti-Financial Crime) and sanctions-related seminars, webinars, and training within these countries.</w:t>
      </w:r>
    </w:p>
    <w:p>
      <w:pPr>
        <w:spacing w:line="360" w:lineRule="auto" w:after="20"/>
        <w:ind w:firstLine="283"/>
      </w:pPr>
      <w:r>
        <w:t>C. Enforcement and pecuniary fines against these countries.</w:t>
      </w:r>
    </w:p>
    <w:p>
      <w:pPr>
        <w:spacing w:line="360" w:lineRule="auto" w:after="20"/>
        <w:ind w:firstLine="283"/>
      </w:pPr>
      <w:r>
        <w:t>D. Bilateral conversations and cooperation between governments.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制裁意识提升路径：教育培训与国家合作</w:t>
      </w:r>
    </w:p>
    <w:p>
      <w:pPr>
        <w:spacing w:before="120" w:after="40"/>
      </w:pPr>
      <w:r>
        <w:rPr>
          <w:b/>
          <w:sz w:val="21"/>
          <w:shd w:fill="D6E4F0" w:val="clear"/>
        </w:rPr>
        <w:t>核心解析：</w:t>
      </w:r>
    </w:p>
    <w:p>
      <w:pPr>
        <w:spacing w:line="360" w:lineRule="auto" w:after="40"/>
        <w:ind w:firstLine="420"/>
      </w:pPr>
      <w:r>
        <w:t>题干的目标是“提高意识”，因此应优先寻找</w:t>
      </w:r>
      <w:r>
        <w:rPr>
          <w:b/>
        </w:rPr>
        <w:t>教育、培训、信息传播和合作</w:t>
      </w:r>
      <w:r>
        <w:t>，而不是事后处罚或经济施压。教材在“培训与意识”部分明确要求开展AML/CFT培训，使人员理解相关法规职责</w:t>
      </w:r>
      <w:r>
        <w:rPr>
          <w:sz w:val="15"/>
          <w:vertAlign w:val="superscript"/>
        </w:rPr>
        <w:t>P255</w:t>
      </w:r>
      <w:r>
        <w:t>；教材还指出，FATF通过发布报告提高各辖区对最新犯罪和恐怖融资手法的认识</w:t>
      </w:r>
      <w:r>
        <w:rPr>
          <w:sz w:val="15"/>
          <w:vertAlign w:val="superscript"/>
        </w:rPr>
        <w:t>P144</w:t>
      </w:r>
      <w:r>
        <w:t>。B项所描述的研讨会、网络研讨会和培训都属于意识建设措施，符合这一原则。</w:t>
      </w:r>
    </w:p>
    <w:p>
      <w:pPr>
        <w:spacing w:line="360" w:lineRule="auto" w:after="40"/>
        <w:ind w:firstLine="420"/>
      </w:pPr>
      <w:r>
        <w:t>对于D项，教材指出各国需要开展国家合作与协调，并建立基于风险评估的AML/CFT政策</w:t>
      </w:r>
      <w:r>
        <w:rPr>
          <w:sz w:val="15"/>
          <w:vertAlign w:val="superscript"/>
        </w:rPr>
        <w:t>P147</w:t>
      </w:r>
      <w:r>
        <w:t>；同时，国际机构合作有助于加强AML/CFT框架</w:t>
      </w:r>
      <w:r>
        <w:rPr>
          <w:sz w:val="15"/>
          <w:vertAlign w:val="superscript"/>
        </w:rPr>
        <w:t>P145</w:t>
      </w:r>
      <w:r>
        <w:t>。政府间对话与合作可以促进经验传播和制度建设。因此，B、D比贸易限制或罚款更直接匹配“提高意识”这一题干目标。</w:t>
      </w:r>
    </w:p>
    <w:p>
      <w:pPr>
        <w:spacing w:before="120" w:after="40"/>
      </w:pPr>
      <w:r>
        <w:rPr>
          <w:b/>
          <w:sz w:val="21"/>
          <w:shd w:fill="D6E4F0" w:val="clear"/>
        </w:rPr>
        <w:t>A项错误：</w:t>
      </w:r>
    </w:p>
    <w:p>
      <w:pPr>
        <w:spacing w:line="360" w:lineRule="auto" w:after="40"/>
        <w:ind w:firstLine="420"/>
      </w:pPr>
      <w:r>
        <w:t>教材说明经济制裁或行业限制会给目标个人和实体施加财务、声誉和运营成本</w:t>
      </w:r>
      <w:r>
        <w:rPr>
          <w:sz w:val="15"/>
          <w:vertAlign w:val="superscript"/>
        </w:rPr>
        <w:t>P23</w:t>
      </w:r>
      <w:r>
        <w:t>，这体现的是经济施压或制裁后果，不是培训和合作式的意识提升。A并非完全没有制裁关联，但与题干所问的“提高意识”不如B、D直接匹配。</w:t>
      </w:r>
    </w:p>
    <w:p>
      <w:pPr>
        <w:spacing w:before="120" w:after="40"/>
      </w:pPr>
      <w:r>
        <w:rPr>
          <w:b/>
          <w:sz w:val="21"/>
          <w:shd w:fill="D6E4F0" w:val="clear"/>
        </w:rPr>
        <w:t>C项错误：</w:t>
      </w:r>
    </w:p>
    <w:p>
      <w:pPr>
        <w:spacing w:line="360" w:lineRule="auto" w:after="40"/>
        <w:ind w:firstLine="420"/>
      </w:pPr>
      <w:r>
        <w:t>教材将罚款和执法行动列为监管机构确保合规的工具，并将增加制裁描述为惩罚AML/CFT失败</w:t>
      </w:r>
      <w:r>
        <w:rPr>
          <w:sz w:val="15"/>
          <w:vertAlign w:val="superscript"/>
        </w:rPr>
        <w:t>P228、P157</w:t>
      </w:r>
      <w:r>
        <w:t>。这些措施面向不合规后的执法反应；题干问的是在制度缺失国家建立认知和能力，因而C的功能和适用主体都不如B、D吻合。</w:t>
      </w:r>
    </w:p>
    <w:p>
      <w:pPr>
        <w:spacing w:before="120" w:after="40"/>
      </w:pPr>
      <w:r>
        <w:rPr>
          <w:b/>
          <w:sz w:val="21"/>
          <w:shd w:fill="D6E4F0" w:val="clear"/>
        </w:rPr>
        <w:t>易错提醒：</w:t>
      </w:r>
    </w:p>
    <w:p>
      <w:pPr>
        <w:spacing w:line="360" w:lineRule="auto" w:after="40"/>
        <w:ind w:firstLine="420"/>
      </w:pPr>
      <w:r>
        <w:t>“提高意识”对应培训、信息传播和合作（P255、P144-P145、P147）；“罚款、执法行动、贸易限制”对应施压或事后惩罚</w:t>
      </w:r>
      <w:r>
        <w:rPr>
          <w:sz w:val="15"/>
          <w:vertAlign w:val="superscript"/>
        </w:rPr>
        <w:t>P23、P157、P228</w:t>
      </w:r>
      <w:r>
        <w:t>。判断时先区分措施的功能，再检查其是否直接服务于题干目标。</w:t>
      </w:r>
    </w:p>
    <w:p>
      <w:pPr>
        <w:spacing w:line="360" w:lineRule="auto" w:after="120"/>
      </w:pPr>
      <w:r/>
    </w:p>
    <w:p>
      <w:pPr>
        <w:spacing w:line="360" w:lineRule="auto" w:after="40"/>
      </w:pPr>
      <w:r>
        <w:t>12. Which of the following are considered best practices regarding senior management involvement in a financial crime compliance program? (Choose two.)</w:t>
      </w:r>
    </w:p>
    <w:p>
      <w:pPr>
        <w:spacing w:line="360" w:lineRule="auto" w:after="20"/>
        <w:ind w:firstLine="283"/>
      </w:pPr>
      <w:r>
        <w:t>A. Setting the tone from the top</w:t>
      </w:r>
    </w:p>
    <w:p>
      <w:pPr>
        <w:spacing w:line="360" w:lineRule="auto" w:after="20"/>
        <w:ind w:firstLine="283"/>
      </w:pPr>
      <w:r>
        <w:t>B. Mandatory participation in all regulatory inspections</w:t>
      </w:r>
    </w:p>
    <w:p>
      <w:pPr>
        <w:spacing w:line="360" w:lineRule="auto" w:after="20"/>
        <w:ind w:firstLine="283"/>
      </w:pPr>
      <w:r>
        <w:t>C. Mandatory attendance at and review of all financial crime training courses</w:t>
      </w:r>
    </w:p>
    <w:p>
      <w:pPr>
        <w:spacing w:line="360" w:lineRule="auto" w:after="20"/>
        <w:ind w:firstLine="283"/>
      </w:pPr>
      <w:r>
        <w:t>D. Setting clear criteria for escalations to senior management</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区分高级管理层</w:t>
      </w:r>
      <w:r>
        <w:rPr>
          <w:b/>
        </w:rPr>
        <w:t>战略引领角色</w:t>
      </w:r>
      <w:r>
        <w:t>与具体运作责任</w:t>
      </w:r>
    </w:p>
    <w:p>
      <w:pPr>
        <w:spacing w:before="120" w:after="40"/>
      </w:pPr>
      <w:r>
        <w:rPr>
          <w:b/>
          <w:sz w:val="21"/>
          <w:shd w:fill="D6E4F0" w:val="clear"/>
        </w:rPr>
        <w:t>核心解析：</w:t>
      </w:r>
    </w:p>
    <w:p>
      <w:pPr>
        <w:spacing w:line="360" w:lineRule="auto" w:after="40"/>
        <w:ind w:firstLine="420"/>
      </w:pPr>
      <w:r>
        <w:t>题干问的是高级管理层参与合规计划的“最佳实践”。材料所描述的最佳实践集中在管理层如何“引领”和“把控框架”，而非陷入每一项具体操作。这引出了两个关键概念：其一，领导层通过自身言行确立合规优先于商业利益的文化，教材将其定义为</w:t>
      </w:r>
      <w:r>
        <w:rPr>
          <w:b/>
        </w:rPr>
        <w:t>“高层基调”</w:t>
      </w:r>
      <w:r>
        <w:rPr>
          <w:sz w:val="15"/>
          <w:vertAlign w:val="superscript"/>
        </w:rPr>
        <w:t>P264</w:t>
      </w:r>
      <w:r>
        <w:t>，对应选项A“自上而下定基调”。这种做法直接影响整个组织的合规文化，正是高级管理层不可替代的战略角色。其二，教材明确要求反洗钱政策应包含“向高级管理层和董事会上报问题的程序”</w:t>
      </w:r>
      <w:r>
        <w:rPr>
          <w:sz w:val="15"/>
          <w:vertAlign w:val="superscript"/>
        </w:rPr>
        <w:t>P244</w:t>
      </w:r>
      <w:r>
        <w:t>，这意味着管理层需要为“什么级别的问题值得自己关注”设定清晰门槛，而非亲自审核每一件事，对应选项D“为向高级管理层升级问题设定明确的标准”。两个正确项共同勾勒出高级管理层的核心职责：</w:t>
      </w:r>
      <w:r>
        <w:rPr>
          <w:b/>
        </w:rPr>
        <w:t>定方向、设规则，而不是做具体执行</w:t>
      </w:r>
      <w:r>
        <w:t>。</w:t>
      </w:r>
    </w:p>
    <w:p>
      <w:pPr>
        <w:spacing w:before="120" w:after="40"/>
      </w:pPr>
      <w:r>
        <w:rPr>
          <w:b/>
          <w:sz w:val="21"/>
          <w:shd w:fill="D6E4F0" w:val="clear"/>
        </w:rPr>
        <w:t>B项错误：</w:t>
      </w:r>
    </w:p>
    <w:p>
      <w:pPr>
        <w:spacing w:line="360" w:lineRule="auto" w:after="40"/>
        <w:ind w:firstLine="420"/>
      </w:pPr>
      <w:r>
        <w:t>选项B要求高级管理层“必须参加所有监管检查”。材料在讨论与监管机构互动时，建议的做法是指定一名合规负责人作为“联络人”来集中处理监管沟通</w:t>
      </w:r>
      <w:r>
        <w:rPr>
          <w:sz w:val="15"/>
          <w:vertAlign w:val="superscript"/>
        </w:rPr>
        <w:t>P299</w:t>
      </w:r>
      <w:r>
        <w:t>，这更指向专业岗位而非要求所有高管亲身到场。高级管理层的参与是战略层面的监督与支持，而非替代合规职能部门执行每一次具体的检查接待，相比之下题干更支持A和D所代表的引领和框架制定角色。</w:t>
      </w:r>
    </w:p>
    <w:p>
      <w:pPr>
        <w:spacing w:before="120" w:after="40"/>
      </w:pPr>
      <w:r>
        <w:rPr>
          <w:b/>
          <w:sz w:val="21"/>
          <w:shd w:fill="D6E4F0" w:val="clear"/>
        </w:rPr>
        <w:t>C项错误：</w:t>
      </w:r>
    </w:p>
    <w:p>
      <w:pPr>
        <w:spacing w:line="360" w:lineRule="auto" w:after="40"/>
        <w:ind w:firstLine="420"/>
      </w:pPr>
      <w:r>
        <w:t>选项C要求高级管理层“强制参加并审查所有金融犯罪培训课程”。材料在阐述培训要求时，将其作为员工层面的“第三大支柱”，即“对员工进行定期、持续的反洗钱培训”</w:t>
      </w:r>
      <w:r>
        <w:rPr>
          <w:sz w:val="15"/>
          <w:vertAlign w:val="superscript"/>
        </w:rPr>
        <w:t>P245</w:t>
      </w:r>
      <w:r>
        <w:t>，并未要求高管亲自参加或审查每一门课程。高管在培训方面的作用更体现为A项所描述的文化倡导和资源保障，而非逐课审查的运作细节，因此选项D所刻画的建立上报标准更吻合高级管理层的监督职能。</w:t>
      </w:r>
    </w:p>
    <w:p>
      <w:pPr>
        <w:spacing w:before="120" w:after="40"/>
      </w:pPr>
      <w:r>
        <w:rPr>
          <w:b/>
          <w:sz w:val="21"/>
          <w:shd w:fill="D6E4F0" w:val="clear"/>
        </w:rPr>
        <w:t>易错提醒：</w:t>
      </w:r>
    </w:p>
    <w:p>
      <w:pPr>
        <w:spacing w:line="360" w:lineRule="auto" w:after="40"/>
        <w:ind w:firstLine="420"/>
      </w:pPr>
      <w:r>
        <w:t>题干选项C把培训责任完全加给高级管理层，但材料在讲第三支柱时，培训的义务主语是“员工”而非特定层级的管理者。对于高层，教材强调的是他们通过“高层基调”来展现对培训的支持，而不是亲自去审查每门课程。看到有关管理层的题目时，先判断它要求的是“亲自操作某件事”还是“确保某件事发生”，前者通常属于业务部门的执行责任。</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