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 (EN)</w:t>
      </w:r>
    </w:p>
    <w:p>
      <w:pPr>
        <w:spacing w:line="360" w:lineRule="auto" w:after="160"/>
      </w:pPr>
      <w:r>
        <w:t>一、单项选择题</w:t>
      </w:r>
    </w:p>
    <w:p>
      <w:pPr>
        <w:spacing w:line="360" w:lineRule="auto" w:after="40"/>
      </w:pPr>
      <w:r>
        <w:t>1. At a high level, the risk assessment process involves identifying and rating the inherent risks associated with customers, products, countries, and delivery channels and then:</w:t>
      </w:r>
    </w:p>
    <w:p>
      <w:pPr>
        <w:spacing w:line="360" w:lineRule="auto" w:after="20"/>
        <w:ind w:firstLine="283"/>
      </w:pPr>
      <w:r>
        <w:t>A. Comparing these risks with industry benchmarks to determine the residual risk</w:t>
      </w:r>
    </w:p>
    <w:p>
      <w:pPr>
        <w:spacing w:line="360" w:lineRule="auto" w:after="20"/>
        <w:ind w:firstLine="283"/>
      </w:pPr>
      <w:r>
        <w:t>B. Implementing new controls to eliminate all risks</w:t>
      </w:r>
    </w:p>
    <w:p>
      <w:pPr>
        <w:spacing w:line="360" w:lineRule="auto" w:after="20"/>
        <w:ind w:firstLine="283"/>
      </w:pPr>
      <w:r>
        <w:t>C. Rating the effectiveness of the related controls in order to calculate the residual risk</w:t>
      </w:r>
    </w:p>
    <w:p>
      <w:pPr>
        <w:spacing w:line="360" w:lineRule="auto" w:after="20"/>
        <w:ind w:firstLine="283"/>
      </w:pPr>
      <w:r>
        <w:t>D. Documenting historical risk incidents for future reference</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企业全面风险评估的核心流程顺序</w:t>
      </w:r>
    </w:p>
    <w:p>
      <w:pPr>
        <w:spacing w:before="120" w:after="40"/>
      </w:pPr>
      <w:r>
        <w:rPr>
          <w:b/>
          <w:sz w:val="21"/>
          <w:shd w:fill="D6E4F0" w:val="clear"/>
        </w:rPr>
        <w:t>核心解析：</w:t>
      </w:r>
    </w:p>
    <w:p>
      <w:pPr>
        <w:spacing w:line="360" w:lineRule="auto" w:after="40"/>
        <w:ind w:firstLine="420"/>
      </w:pPr>
      <w:r>
        <w:t>企业全面风险评估（EWRA）遵循特定流程：先确定固有风险，然后</w:t>
      </w:r>
      <w:r>
        <w:rPr>
          <w:b/>
        </w:rPr>
        <w:t>评估控制措施的有效性</w:t>
      </w:r>
      <w:r>
        <w:t>，接着计算剩余风险，最后制定行动计划</w:t>
      </w:r>
      <w:r>
        <w:rPr>
          <w:sz w:val="15"/>
          <w:vertAlign w:val="superscript"/>
        </w:rPr>
        <w:t>P268</w:t>
      </w:r>
      <w:r>
        <w:t>。剩余风险的计算公式为</w:t>
      </w:r>
      <w:r>
        <w:rPr>
          <w:b/>
        </w:rPr>
        <w:t>“固有风险减去控制有效性等于剩余风险”</w:t>
      </w:r>
      <w:r>
        <w:t>，即 residual risk = inherent risk – control effectiveness</w:t>
      </w:r>
      <w:r>
        <w:rPr>
          <w:sz w:val="15"/>
          <w:vertAlign w:val="superscript"/>
        </w:rPr>
        <w:t>P278</w:t>
      </w:r>
      <w:r>
        <w:t>。题干给出的是流程第一步“识别和评估固有风险”，问然后做什么，自然衔接第二步“评估相关控制措施的有效性”，再通往第三步“计算剩余风险”。选项C直接用第二个箭头接上第三条，完全吻合教材给出的流程框架。</w:t>
      </w:r>
    </w:p>
    <w:p>
      <w:pPr>
        <w:spacing w:before="120" w:after="40"/>
      </w:pPr>
      <w:r>
        <w:rPr>
          <w:b/>
          <w:sz w:val="21"/>
          <w:shd w:fill="D6E4F0" w:val="clear"/>
        </w:rPr>
        <w:t>教材原句：</w:t>
      </w:r>
    </w:p>
    <w:p>
      <w:pPr>
        <w:spacing w:line="360" w:lineRule="auto" w:after="40"/>
        <w:ind w:firstLine="420"/>
      </w:pPr>
      <w:r>
        <w:t>"The process begins by establishing inherent risks, assessing the effectiveness of controls, computing the residual risk, and obtaining a clear action plan on mitigating the highest risks."</w:t>
      </w:r>
    </w:p>
    <w:p>
      <w:pPr>
        <w:spacing w:before="120" w:after="40"/>
      </w:pPr>
      <w:r>
        <w:rPr>
          <w:b/>
          <w:sz w:val="21"/>
          <w:shd w:fill="D6E4F0" w:val="clear"/>
        </w:rPr>
        <w:t>A项错误：</w:t>
      </w:r>
    </w:p>
    <w:p>
      <w:pPr>
        <w:spacing w:line="360" w:lineRule="auto" w:after="40"/>
        <w:ind w:firstLine="420"/>
      </w:pPr>
      <w:r>
        <w:t>行业风险评估（SRA）由监管机构等外部主体执行</w:t>
      </w:r>
      <w:r>
        <w:rPr>
          <w:sz w:val="15"/>
          <w:vertAlign w:val="superscript"/>
        </w:rPr>
        <w:t>P268</w:t>
      </w:r>
      <w:r>
        <w:t>，整个流程里并不包含“与行业基准比较”这一环节。题干要求的是企业全面风险评估（EWRA）的内部步骤顺序，直接计算剩余风险比先做行业基准比较更符合教材的流程描述。</w:t>
      </w:r>
    </w:p>
    <w:p>
      <w:pPr>
        <w:spacing w:before="120" w:after="40"/>
      </w:pPr>
      <w:r>
        <w:rPr>
          <w:b/>
          <w:sz w:val="21"/>
          <w:shd w:fill="D6E4F0" w:val="clear"/>
        </w:rPr>
        <w:t>B项错误：</w:t>
      </w:r>
    </w:p>
    <w:p>
      <w:pPr>
        <w:spacing w:line="360" w:lineRule="auto" w:after="40"/>
        <w:ind w:firstLine="420"/>
      </w:pPr>
      <w:r>
        <w:t>控制措施的目标是将固有风险降低至与机构风险偏好一致的可接受水平，而非“消除所有风险”</w:t>
      </w:r>
      <w:r>
        <w:rPr>
          <w:sz w:val="15"/>
          <w:vertAlign w:val="superscript"/>
        </w:rPr>
        <w:t>P278</w:t>
      </w:r>
      <w:r>
        <w:t>。风险无法被彻底消除，教材用“mitigate to an acceptable level”描述这一点，选项B的绝对化表述在教材框架下不成立。</w:t>
      </w:r>
    </w:p>
    <w:p>
      <w:pPr>
        <w:spacing w:before="120" w:after="40"/>
      </w:pPr>
      <w:r>
        <w:rPr>
          <w:b/>
          <w:sz w:val="21"/>
          <w:shd w:fill="D6E4F0" w:val="clear"/>
        </w:rPr>
        <w:t>D项错误：</w:t>
      </w:r>
    </w:p>
    <w:p>
      <w:pPr>
        <w:spacing w:line="360" w:lineRule="auto" w:after="40"/>
        <w:ind w:firstLine="420"/>
      </w:pPr>
      <w:r>
        <w:t>完整记录和审计线索在整个反洗钱项目中都很重要（P337–338），但题干问的是宏观风险评估流程的固定步骤，即确定固有风险之后紧接什么。相比于直接推进剩余风险计算的评估控制有效性，记录历史事件明显不是这个时间节点上的连贯动作。</w:t>
      </w:r>
    </w:p>
    <w:p>
      <w:pPr>
        <w:spacing w:before="120" w:after="40"/>
      </w:pPr>
      <w:r>
        <w:rPr>
          <w:b/>
          <w:sz w:val="21"/>
          <w:shd w:fill="D6E4F0" w:val="clear"/>
        </w:rPr>
        <w:t>易错提醒：</w:t>
      </w:r>
    </w:p>
    <w:p>
      <w:pPr>
        <w:spacing w:line="360" w:lineRule="auto" w:after="40"/>
        <w:ind w:firstLine="420"/>
      </w:pPr>
      <w:r>
        <w:t>容易把流程顺序记成：确定固有风险→计算剩余风险→再评估控制。但公式 residual risk = inherent risk – control effectiveness 本身说明必须先评估控制有效性，才能得出剩余风险，而不是倒过来。</w:t>
      </w:r>
    </w:p>
    <w:p>
      <w:pPr>
        <w:spacing w:line="360" w:lineRule="auto" w:after="120"/>
      </w:pPr>
      <w:r/>
    </w:p>
    <w:p>
      <w:pPr>
        <w:spacing w:line="360" w:lineRule="auto" w:after="40"/>
      </w:pPr>
      <w:r>
        <w:t>2. A risk-based approach (RBA) means that countries, competent authorities, and financial institutions:</w:t>
      </w:r>
    </w:p>
    <w:p>
      <w:pPr>
        <w:spacing w:line="360" w:lineRule="auto" w:after="20"/>
        <w:ind w:firstLine="283"/>
      </w:pPr>
      <w:r>
        <w:t>A. Are exempt from mitigating AML/CFT risks assessed as low</w:t>
      </w:r>
    </w:p>
    <w:p>
      <w:pPr>
        <w:spacing w:line="360" w:lineRule="auto" w:after="20"/>
        <w:ind w:firstLine="283"/>
      </w:pPr>
      <w:r>
        <w:t>B. Are expected to reduce all residual risks to low</w:t>
      </w:r>
    </w:p>
    <w:p>
      <w:pPr>
        <w:spacing w:line="360" w:lineRule="auto" w:after="20"/>
        <w:ind w:firstLine="283"/>
      </w:pPr>
      <w:r>
        <w:t>C. Are expected to identify, assess, and understand the AML/CFT risks to which they are exposed</w:t>
      </w:r>
    </w:p>
    <w:p>
      <w:pPr>
        <w:spacing w:line="360" w:lineRule="auto" w:after="20"/>
        <w:ind w:firstLine="283"/>
      </w:pPr>
      <w:r>
        <w:t>D. Will allocate compliance resources to non-compliance-related tasks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风险为本方法（RBA）的核心定义</w:t>
      </w:r>
    </w:p>
    <w:p>
      <w:pPr>
        <w:spacing w:before="120" w:after="40"/>
      </w:pPr>
      <w:r>
        <w:rPr>
          <w:b/>
          <w:sz w:val="21"/>
          <w:shd w:fill="D6E4F0" w:val="clear"/>
        </w:rPr>
        <w:t>核心解析：</w:t>
      </w:r>
    </w:p>
    <w:p>
      <w:pPr>
        <w:spacing w:line="360" w:lineRule="auto" w:after="40"/>
        <w:ind w:firstLine="420"/>
      </w:pPr>
      <w:r>
        <w:t>风险为本方法（RBA）指</w:t>
      </w:r>
      <w:r>
        <w:rPr>
          <w:b/>
        </w:rPr>
        <w:t>识别、评估和理解</w:t>
      </w:r>
      <w:r>
        <w:t>组织所面临的洗钱/恐怖融资风险，并采取适当措施有效缓解这些风险的过程</w:t>
      </w:r>
      <w:r>
        <w:rPr>
          <w:sz w:val="15"/>
          <w:vertAlign w:val="superscript"/>
        </w:rPr>
        <w:t>P270</w:t>
      </w:r>
      <w:r>
        <w:t>。FATF建议1同样要求各国识别、评估并了解其洗钱和恐怖融资风险</w:t>
      </w:r>
      <w:r>
        <w:rPr>
          <w:sz w:val="15"/>
          <w:vertAlign w:val="superscript"/>
        </w:rPr>
        <w:t>P267</w:t>
      </w:r>
      <w:r>
        <w:t>。题干直接问RBA对各国、主管当局和金融机构意味着什么，选项C的“识别、评估并理解其面临的洗钱与恐怖融资风险”与教材定义完全吻合，属于</w:t>
      </w:r>
      <w:r>
        <w:rPr>
          <w:b/>
        </w:rPr>
        <w:t>定义原文的直接复现</w:t>
      </w:r>
      <w:r>
        <w:t>，因此正确。</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p>
    <w:p>
      <w:pPr>
        <w:spacing w:before="120" w:after="40"/>
      </w:pPr>
      <w:r>
        <w:rPr>
          <w:b/>
          <w:sz w:val="21"/>
          <w:shd w:fill="D6E4F0" w:val="clear"/>
        </w:rPr>
        <w:t>A项错误：</w:t>
      </w:r>
    </w:p>
    <w:p>
      <w:pPr>
        <w:spacing w:line="360" w:lineRule="auto" w:after="40"/>
        <w:ind w:firstLine="420"/>
      </w:pPr>
      <w:r>
        <w:t>教材指出RBA并非忽略其他风险，只是对最高风险投入更多资源</w:t>
      </w:r>
      <w:r>
        <w:rPr>
          <w:sz w:val="15"/>
          <w:vertAlign w:val="superscript"/>
        </w:rPr>
        <w:t>P276</w:t>
      </w:r>
      <w:r>
        <w:t>，因此低风险仍需缓解，题干更直接匹配“识别、评估、理解”的定义，而非“免除低风险缓解”。</w:t>
      </w:r>
    </w:p>
    <w:p>
      <w:pPr>
        <w:spacing w:before="120" w:after="40"/>
      </w:pPr>
      <w:r>
        <w:rPr>
          <w:b/>
          <w:sz w:val="21"/>
          <w:shd w:fill="D6E4F0" w:val="clear"/>
        </w:rPr>
        <w:t>B项错误：</w:t>
      </w:r>
    </w:p>
    <w:p>
      <w:pPr>
        <w:spacing w:line="360" w:lineRule="auto" w:after="40"/>
        <w:ind w:firstLine="420"/>
      </w:pPr>
      <w:r>
        <w:t>RBA要求将风险降至可接受的剩余风险水平</w:t>
      </w:r>
      <w:r>
        <w:rPr>
          <w:sz w:val="15"/>
          <w:vertAlign w:val="superscript"/>
        </w:rPr>
        <w:t>P278</w:t>
      </w:r>
      <w:r>
        <w:t>，并非一律降至“较低水平”，对高风险客户采取EDD后剩余风险仍可能为中等，题干更吻合C的识别与理解而非B的绝对降级要求。</w:t>
      </w:r>
    </w:p>
    <w:p>
      <w:pPr>
        <w:spacing w:before="120" w:after="40"/>
      </w:pPr>
      <w:r>
        <w:rPr>
          <w:b/>
          <w:sz w:val="21"/>
          <w:shd w:fill="D6E4F0" w:val="clear"/>
        </w:rPr>
        <w:t>D项错误：</w:t>
      </w:r>
    </w:p>
    <w:p>
      <w:pPr>
        <w:spacing w:line="360" w:lineRule="auto" w:after="40"/>
        <w:ind w:firstLine="420"/>
      </w:pPr>
      <w:r>
        <w:t>风险为本方法要求根据风险程度确定优先事项并配置合规资源。把资源分配给与合规无关的任务既不能帮助识别和理解洗钱风险，也不能形成相称的缓释措施，因此与RBA无关。</w:t>
      </w:r>
    </w:p>
    <w:p>
      <w:pPr>
        <w:spacing w:before="120" w:after="40"/>
      </w:pPr>
      <w:r>
        <w:rPr>
          <w:b/>
          <w:sz w:val="21"/>
          <w:shd w:fill="D6E4F0" w:val="clear"/>
        </w:rPr>
        <w:t>易错提醒：</w:t>
      </w:r>
    </w:p>
    <w:p>
      <w:pPr>
        <w:spacing w:line="360" w:lineRule="auto" w:after="40"/>
        <w:ind w:firstLine="420"/>
      </w:pPr>
      <w:r>
        <w:t>RBA要求将风险降至“可接受的剩余风险水平”（acceptable level of residual risk）P278，而非“降低至较低水平”——可接受不必然等于低，取决于组织的风险偏好。</w:t>
      </w:r>
    </w:p>
    <w:p>
      <w:pPr>
        <w:spacing w:line="360" w:lineRule="auto" w:after="120"/>
      </w:pPr>
      <w:r/>
    </w:p>
    <w:p>
      <w:pPr>
        <w:spacing w:line="360" w:lineRule="auto" w:after="40"/>
      </w:pPr>
      <w:r>
        <w:t>3. The purpose of a risk appetite statement is to:</w:t>
      </w:r>
    </w:p>
    <w:p>
      <w:pPr>
        <w:spacing w:line="360" w:lineRule="auto" w:after="20"/>
        <w:ind w:firstLine="283"/>
      </w:pPr>
      <w:r>
        <w:t>A. Clearly define the level of risk exposure to financial crime that a financial institution is willing to take</w:t>
      </w:r>
    </w:p>
    <w:p>
      <w:pPr>
        <w:spacing w:line="360" w:lineRule="auto" w:after="20"/>
        <w:ind w:firstLine="283"/>
      </w:pPr>
      <w:r>
        <w:t>B. Help investors understand the risk a financial institution is willing to take</w:t>
      </w:r>
    </w:p>
    <w:p>
      <w:pPr>
        <w:spacing w:line="360" w:lineRule="auto" w:after="20"/>
        <w:ind w:firstLine="283"/>
      </w:pPr>
      <w:r>
        <w:t>C. Help customers understand which financial institutions may be willing to bank their business</w:t>
      </w:r>
    </w:p>
    <w:p>
      <w:pPr>
        <w:spacing w:line="360" w:lineRule="auto" w:after="20"/>
        <w:ind w:firstLine="283"/>
      </w:pPr>
      <w:r>
        <w:t>D. Eliminate high-risk business types from a financial institution</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风险偏好声明的核心功能：界定机构愿承担的风险水平</w:t>
      </w:r>
    </w:p>
    <w:p>
      <w:pPr>
        <w:spacing w:before="120" w:after="40"/>
      </w:pPr>
      <w:r>
        <w:rPr>
          <w:b/>
          <w:sz w:val="21"/>
          <w:shd w:fill="D6E4F0" w:val="clear"/>
        </w:rPr>
        <w:t>核心解析：</w:t>
      </w:r>
    </w:p>
    <w:p>
      <w:pPr>
        <w:spacing w:line="360" w:lineRule="auto" w:after="40"/>
        <w:ind w:firstLine="420"/>
      </w:pPr>
      <w:r>
        <w:t>风险偏好是机构在业务和战略目标范围内</w:t>
      </w:r>
      <w:r>
        <w:rPr>
          <w:b/>
        </w:rPr>
        <w:t>可接受的金融犯罪风险水平</w:t>
      </w:r>
      <w:r>
        <w:rPr>
          <w:sz w:val="15"/>
          <w:vertAlign w:val="superscript"/>
        </w:rPr>
        <w:t>P271</w:t>
      </w:r>
      <w:r>
        <w:t>。风险偏好声明定义了组织为实现目标愿意承担的风险水平</w:t>
      </w:r>
      <w:r>
        <w:rPr>
          <w:sz w:val="15"/>
          <w:vertAlign w:val="superscript"/>
        </w:rPr>
        <w:t>P243</w:t>
      </w:r>
      <w:r>
        <w:t>。题干问该声明的“目的”是什么——选项A“明确界定金融机构愿意承担的金融犯罪风险敞口水平”与教材定义完全吻合：核心词“risk level / level of risk exposure”“willing to take / acceptable”和“define”均对应教材原文的表述。</w:t>
      </w:r>
    </w:p>
    <w:p>
      <w:pPr>
        <w:spacing w:before="120" w:after="40"/>
      </w:pPr>
      <w:r>
        <w:rPr>
          <w:b/>
          <w:sz w:val="21"/>
          <w:shd w:fill="D6E4F0" w:val="clear"/>
        </w:rPr>
        <w:t>教材原句：</w:t>
      </w:r>
    </w:p>
    <w:p>
      <w:pPr>
        <w:spacing w:line="360" w:lineRule="auto" w:after="40"/>
        <w:ind w:firstLine="420"/>
      </w:pPr>
      <w:r>
        <w:t>"Risk appetite is the level of financial crime risk acceptable to an organization, within the parameters of its business and strategic goals."</w:t>
      </w:r>
    </w:p>
    <w:p>
      <w:pPr>
        <w:spacing w:before="120" w:after="40"/>
      </w:pPr>
      <w:r>
        <w:rPr>
          <w:b/>
          <w:sz w:val="21"/>
          <w:shd w:fill="D6E4F0" w:val="clear"/>
        </w:rPr>
        <w:t>B项错误：</w:t>
      </w:r>
    </w:p>
    <w:p>
      <w:pPr>
        <w:spacing w:line="360" w:lineRule="auto" w:after="40"/>
        <w:ind w:firstLine="420"/>
      </w:pPr>
      <w:r>
        <w:t>教材定义的风险偏好声明是内部治理工具，目的是指导行为、决策和风险管理实践，而非面向投资者披露。题干的“目的”在教材框架下更直接匹配A。</w:t>
      </w:r>
    </w:p>
    <w:p>
      <w:pPr>
        <w:spacing w:before="120" w:after="40"/>
      </w:pPr>
      <w:r>
        <w:rPr>
          <w:b/>
          <w:sz w:val="21"/>
          <w:shd w:fill="D6E4F0" w:val="clear"/>
        </w:rPr>
        <w:t>C项错误：</w:t>
      </w:r>
    </w:p>
    <w:p>
      <w:pPr>
        <w:spacing w:line="360" w:lineRule="auto" w:after="40"/>
        <w:ind w:firstLine="420"/>
      </w:pPr>
      <w:r>
        <w:t>风险偏好声明定义的是机构自身愿意承担的风险水平，不是让客户了解哪些银行愿意为其提供服务。后者属于金融普惠或业务选择的范畴，与风险偏好声明的教材定义不匹配。</w:t>
      </w:r>
    </w:p>
    <w:p>
      <w:pPr>
        <w:spacing w:before="120" w:after="40"/>
      </w:pPr>
      <w:r>
        <w:rPr>
          <w:b/>
          <w:sz w:val="21"/>
          <w:shd w:fill="D6E4F0" w:val="clear"/>
        </w:rPr>
        <w:t>D项错误：</w:t>
      </w:r>
    </w:p>
    <w:p>
      <w:pPr>
        <w:spacing w:line="360" w:lineRule="auto" w:after="40"/>
        <w:ind w:firstLine="420"/>
      </w:pPr>
      <w:r>
        <w:t>风险偏好声明是“界定可接受的风险水平”，而非“剔除高风险业务”。事实上，直接终止客户或业务关系以规避风险的行为，教材定义为“去风险化”</w:t>
      </w:r>
      <w:r>
        <w:rPr>
          <w:sz w:val="15"/>
          <w:vertAlign w:val="superscript"/>
        </w:rPr>
        <w:t>P214</w:t>
      </w:r>
      <w:r>
        <w:t>，这是风险偏好过度执行带来的问题，而非风险偏好声明本身的目的。</w:t>
      </w:r>
    </w:p>
    <w:p>
      <w:pPr>
        <w:spacing w:before="120" w:after="40"/>
      </w:pPr>
      <w:r>
        <w:rPr>
          <w:b/>
          <w:sz w:val="21"/>
          <w:shd w:fill="D6E4F0" w:val="clear"/>
        </w:rPr>
        <w:t>易错提醒：</w:t>
      </w:r>
    </w:p>
    <w:p>
      <w:pPr>
        <w:spacing w:line="360" w:lineRule="auto" w:after="40"/>
        <w:ind w:firstLine="420"/>
      </w:pPr>
      <w:r>
        <w:t>风险偏好声明定义机构“愿意承担”多少风险，风险容忍度则在此基础上设定“量化的上下限”——前者是大方向，后者是具体边界</w:t>
      </w:r>
      <w:r>
        <w:rPr>
          <w:sz w:val="15"/>
          <w:vertAlign w:val="superscript"/>
        </w:rPr>
        <w:t>P244</w:t>
      </w:r>
      <w:r>
        <w:t>。不要把风险偏好与去风险化混淆：去风险化是直接终止业务关系以规避风险</w:t>
      </w:r>
      <w:r>
        <w:rPr>
          <w:sz w:val="15"/>
          <w:vertAlign w:val="superscript"/>
        </w:rPr>
        <w:t>P214</w:t>
      </w:r>
      <w:r>
        <w:t>，而风险偏好声明只是界定可接受范围，并不等于要把高风险业务全部剔除。</w:t>
      </w:r>
    </w:p>
    <w:p>
      <w:pPr>
        <w:spacing w:line="360" w:lineRule="auto" w:after="120"/>
      </w:pPr>
      <w:r/>
    </w:p>
    <w:p>
      <w:pPr>
        <w:spacing w:line="360" w:lineRule="auto" w:after="40"/>
      </w:pPr>
      <w:r>
        <w:t>4. A National Risk Assessment (NRA) can impact a financial institution's (FI's) risk-based approach to anti-money laundering and terrorist financing by:</w:t>
      </w:r>
    </w:p>
    <w:p>
      <w:pPr>
        <w:spacing w:line="360" w:lineRule="auto" w:after="20"/>
        <w:ind w:firstLine="283"/>
      </w:pPr>
      <w:r>
        <w:t>A. Dictating what predicate offences must be considered in the FI's risk assessment</w:t>
      </w:r>
    </w:p>
    <w:p>
      <w:pPr>
        <w:spacing w:line="360" w:lineRule="auto" w:after="20"/>
        <w:ind w:firstLine="283"/>
      </w:pPr>
      <w:r>
        <w:t>B. Providing guidance on the types of customers and transactions that pose the highest risk</w:t>
      </w:r>
    </w:p>
    <w:p>
      <w:pPr>
        <w:spacing w:line="360" w:lineRule="auto" w:after="20"/>
        <w:ind w:firstLine="283"/>
      </w:pPr>
      <w:r>
        <w:t>C. Defining exactly what policies and procedures must be implemented</w:t>
      </w:r>
    </w:p>
    <w:p>
      <w:pPr>
        <w:spacing w:line="360" w:lineRule="auto" w:after="20"/>
        <w:ind w:firstLine="283"/>
      </w:pPr>
      <w:r>
        <w:t>D. Determining the maximum fines that can be imposed for AML violations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NRA的定位：识别风险、提供指导，而非规定具体制度或处罚</w:t>
      </w:r>
    </w:p>
    <w:p>
      <w:pPr>
        <w:spacing w:before="120" w:after="40"/>
      </w:pPr>
      <w:r>
        <w:rPr>
          <w:b/>
          <w:sz w:val="21"/>
          <w:shd w:fill="D6E4F0" w:val="clear"/>
        </w:rPr>
        <w:t>核心解析：</w:t>
      </w:r>
    </w:p>
    <w:p>
      <w:pPr>
        <w:spacing w:line="360" w:lineRule="auto" w:after="40"/>
        <w:ind w:firstLine="420"/>
      </w:pPr>
      <w:r>
        <w:t>国家风险评估（NRA）是司法管辖区用于识别和评估洗钱威胁与脆弱性的文件</w:t>
      </w:r>
      <w:r>
        <w:rPr>
          <w:sz w:val="15"/>
          <w:vertAlign w:val="superscript"/>
        </w:rPr>
        <w:t>P225</w:t>
      </w:r>
      <w:r>
        <w:t>。在风险为本的框架下，NRA的核心作用是</w:t>
      </w:r>
      <w:r>
        <w:rPr>
          <w:b/>
        </w:rPr>
        <w:t>识别国家层面的洗钱与恐怖融资威胁和风险</w:t>
      </w:r>
      <w:r>
        <w:t>，并审查高风险行业和领域</w:t>
      </w:r>
      <w:r>
        <w:rPr>
          <w:sz w:val="15"/>
          <w:vertAlign w:val="superscript"/>
        </w:rPr>
        <w:t>P268</w:t>
      </w:r>
      <w:r>
        <w:t>。这意味着NRA会输出关于哪些客户类型、交易类型和行业风险更高的结论。金融机构在建立自身的风险评估体系时，会参考NRA的这些结论来</w:t>
      </w:r>
      <w:r>
        <w:rPr>
          <w:b/>
        </w:rPr>
        <w:t>识别和优先关注高风险领域</w:t>
      </w:r>
      <w:r>
        <w:t>，这正好对应了选项B所述的“就风险最高的客户类型和交易类型提供指导”。NRA本身是一种风险信息的整合和表达工具</w:t>
      </w:r>
      <w:r>
        <w:rPr>
          <w:sz w:val="15"/>
          <w:vertAlign w:val="superscript"/>
        </w:rPr>
        <w:t>P225</w:t>
      </w:r>
      <w:r>
        <w:t>，它不代替每个金融机构去制定内部制度，而是为其风险判断提供宏观依据，从而使机构的风险为本方法更聚焦。</w:t>
      </w:r>
    </w:p>
    <w:p>
      <w:pPr>
        <w:spacing w:before="120" w:after="40"/>
      </w:pPr>
      <w:r>
        <w:rPr>
          <w:b/>
          <w:sz w:val="21"/>
          <w:shd w:fill="D6E4F0" w:val="clear"/>
        </w:rPr>
        <w:t>教材原句：</w:t>
      </w:r>
    </w:p>
    <w:p>
      <w:pPr>
        <w:spacing w:line="360" w:lineRule="auto" w:after="40"/>
        <w:ind w:firstLine="420"/>
      </w:pPr>
      <w:r>
        <w:t>"NRAs identify national-level money laundering and terror financing threats and risks. These assessments review sectors and areas with higher risks."</w:t>
      </w:r>
    </w:p>
    <w:p>
      <w:pPr>
        <w:spacing w:before="120" w:after="40"/>
      </w:pPr>
      <w:r>
        <w:rPr>
          <w:b/>
          <w:sz w:val="21"/>
          <w:shd w:fill="D6E4F0" w:val="clear"/>
        </w:rPr>
        <w:t>A项错误：</w:t>
      </w:r>
    </w:p>
    <w:p>
      <w:pPr>
        <w:spacing w:line="360" w:lineRule="auto" w:after="40"/>
        <w:ind w:firstLine="420"/>
      </w:pPr>
      <w:r>
        <w:t>NRA的作用是识别和评估威胁与脆弱性，并审查高风险领域</w:t>
      </w:r>
      <w:r>
        <w:rPr>
          <w:sz w:val="15"/>
          <w:vertAlign w:val="superscript"/>
        </w:rPr>
        <w:t>P268</w:t>
      </w:r>
      <w:r>
        <w:t>，而不是“规定必须考虑哪些上游犯罪”。上游犯罪的定义和清单由FATF及各国法律确定</w:t>
      </w:r>
      <w:r>
        <w:rPr>
          <w:sz w:val="15"/>
          <w:vertAlign w:val="superscript"/>
        </w:rPr>
        <w:t>P21</w:t>
      </w:r>
      <w:r>
        <w:t>，虽然NRA会涉及对威胁的识别，但它不等同于对上游犯罪类型的强制划定。教材对NRA功能的描述更吻合提供风险指导（选项B），而非规定前置犯罪范围。</w:t>
      </w:r>
    </w:p>
    <w:p>
      <w:pPr>
        <w:spacing w:before="120" w:after="40"/>
      </w:pPr>
      <w:r>
        <w:rPr>
          <w:b/>
          <w:sz w:val="21"/>
          <w:shd w:fill="D6E4F0" w:val="clear"/>
        </w:rPr>
        <w:t>C项错误：</w:t>
      </w:r>
    </w:p>
    <w:p>
      <w:pPr>
        <w:spacing w:line="360" w:lineRule="auto" w:after="40"/>
        <w:ind w:firstLine="420"/>
      </w:pPr>
      <w:r>
        <w:t>选项C使用“明确规定必须实施的具体政策和程序”的表达，这与教材对NRA的定位不符。教材将NRA描述为识别风险、提供信息的文件</w:t>
      </w:r>
      <w:r>
        <w:rPr>
          <w:sz w:val="15"/>
          <w:vertAlign w:val="superscript"/>
        </w:rPr>
        <w:t>P225</w:t>
      </w:r>
      <w:r>
        <w:t>，而具体的政策和程序是金融机构根据自身风险状况自行制定并量体裁衣的</w:t>
      </w:r>
      <w:r>
        <w:rPr>
          <w:sz w:val="15"/>
          <w:vertAlign w:val="superscript"/>
        </w:rPr>
        <w:t>P292、P294</w:t>
      </w:r>
      <w:r>
        <w:t>。NRA提供的是风险导向的“指导”（选项B），而非操作层面的制度强制。</w:t>
      </w:r>
    </w:p>
    <w:p>
      <w:pPr>
        <w:spacing w:before="120" w:after="40"/>
      </w:pPr>
      <w:r>
        <w:rPr>
          <w:b/>
          <w:sz w:val="21"/>
          <w:shd w:fill="D6E4F0" w:val="clear"/>
        </w:rPr>
        <w:t>D项错误：</w:t>
      </w:r>
    </w:p>
    <w:p>
      <w:pPr>
        <w:spacing w:line="360" w:lineRule="auto" w:after="40"/>
        <w:ind w:firstLine="420"/>
      </w:pPr>
      <w:r>
        <w:t>罚款金额属于执法和处罚范畴，通常由法律法规或监管机构确定，而不是由国家风险评估（NRA）确定。相比之下，B项的“提供指导”更符合NRA作为风险识别工具的功能。</w:t>
      </w:r>
    </w:p>
    <w:p>
      <w:pPr>
        <w:spacing w:before="120" w:after="40"/>
      </w:pPr>
      <w:r>
        <w:rPr>
          <w:b/>
          <w:sz w:val="21"/>
          <w:shd w:fill="D6E4F0" w:val="clear"/>
        </w:rPr>
        <w:t>易错提醒：</w:t>
      </w:r>
    </w:p>
    <w:p>
      <w:pPr>
        <w:spacing w:line="360" w:lineRule="auto" w:after="40"/>
        <w:ind w:firstLine="420"/>
      </w:pPr>
      <w:r>
        <w:t>注意区分“识别和评估风险的指导性文件”与“规定具体操作的政策文件”。NRA是前者，它告诉金融机构“哪里风险高”，但不替金融机构写操作规程。</w:t>
      </w:r>
    </w:p>
    <w:p>
      <w:pPr>
        <w:spacing w:line="360" w:lineRule="auto" w:after="120"/>
      </w:pPr>
      <w:r/>
    </w:p>
    <w:p>
      <w:pPr>
        <w:spacing w:line="360" w:lineRule="auto" w:after="40"/>
      </w:pPr>
      <w:r>
        <w:t>5. A risk-based approach (RBA) to anti-financial crime (AFC) involves understanding and managing risks by:</w:t>
      </w:r>
    </w:p>
    <w:p>
      <w:pPr>
        <w:spacing w:line="360" w:lineRule="auto" w:after="20"/>
        <w:ind w:firstLine="283"/>
      </w:pPr>
      <w:r>
        <w:t>A. Applying uniform controls to all customers, regardless of their risk profile</w:t>
      </w:r>
    </w:p>
    <w:p>
      <w:pPr>
        <w:spacing w:line="360" w:lineRule="auto" w:after="20"/>
        <w:ind w:firstLine="283"/>
      </w:pPr>
      <w:r>
        <w:t>B. Allocating resources and implementing controls based on the level of identified risks</w:t>
      </w:r>
    </w:p>
    <w:p>
      <w:pPr>
        <w:spacing w:line="360" w:lineRule="auto" w:after="20"/>
        <w:ind w:firstLine="283"/>
      </w:pPr>
      <w:r>
        <w:t>C. Prioritizing regulatory compliance over customer experience and operational efficiency</w:t>
      </w:r>
    </w:p>
    <w:p>
      <w:pPr>
        <w:spacing w:line="360" w:lineRule="auto" w:after="20"/>
        <w:ind w:firstLine="283"/>
      </w:pPr>
      <w:r>
        <w:t>D. Relying on automated systems to detect and mitigate AFC risks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风险为本方法（RBA）的核心定义与资源分配原则</w:t>
      </w:r>
    </w:p>
    <w:p>
      <w:pPr>
        <w:spacing w:before="120" w:after="40"/>
      </w:pPr>
      <w:r>
        <w:rPr>
          <w:b/>
          <w:sz w:val="21"/>
          <w:shd w:fill="D6E4F0" w:val="clear"/>
        </w:rPr>
        <w:t>核心解析：</w:t>
      </w:r>
    </w:p>
    <w:p>
      <w:pPr>
        <w:spacing w:line="360" w:lineRule="auto" w:after="40"/>
        <w:ind w:firstLine="420"/>
      </w:pPr>
      <w:r>
        <w:t>风险为本方法（RBA）的核心在于“识别、评估和理解”风险，并根据风险暴露程度</w:t>
      </w:r>
      <w:r>
        <w:rPr>
          <w:b/>
        </w:rPr>
        <w:t>优先排序并采取适当措施</w:t>
      </w:r>
      <w:r>
        <w:rPr>
          <w:sz w:val="15"/>
          <w:vertAlign w:val="superscript"/>
        </w:rPr>
        <w:t>P267</w:t>
      </w:r>
      <w:r>
        <w:t>。换句话说，它不是一刀切，而是把更多资源投到更高的风险上。题干问RBA“通过什么方式了解和管理风险”，选项B“根据已识别风险的程度分配资源并实施控制措施”正好对应了这一核心逻辑：先识别风险程度，再按程度</w:t>
      </w:r>
      <w:r>
        <w:rPr>
          <w:b/>
        </w:rPr>
        <w:t>分配资源和控制</w:t>
      </w:r>
      <w:r>
        <w:t>。教材在P268也明确指出，要“根据风险水平做出明智决策，有效分配资源”。另外，教材P276也强调，基于风险的方法意味着“对最高风险投入更多资源”。因此，B项是RBA定义的直接体现。</w:t>
      </w:r>
    </w:p>
    <w:p>
      <w:pPr>
        <w:spacing w:before="120" w:after="40"/>
      </w:pPr>
      <w:r>
        <w:rPr>
          <w:b/>
          <w:sz w:val="21"/>
          <w:shd w:fill="D6E4F0" w:val="clear"/>
        </w:rPr>
        <w:t>教材原句：</w:t>
      </w:r>
    </w:p>
    <w:p>
      <w:pPr>
        <w:spacing w:line="360" w:lineRule="auto" w:after="40"/>
        <w:ind w:firstLine="420"/>
      </w:pPr>
      <w:r>
        <w:t>"An RBA requires countries and financial institutions to prioritize risks and apply appropriate measures based on their level of exposure."</w:t>
      </w:r>
    </w:p>
    <w:p>
      <w:pPr>
        <w:spacing w:before="120" w:after="40"/>
      </w:pPr>
      <w:r>
        <w:rPr>
          <w:b/>
          <w:sz w:val="21"/>
          <w:shd w:fill="D6E4F0" w:val="clear"/>
        </w:rPr>
        <w:t>A项错误：</w:t>
      </w:r>
    </w:p>
    <w:p>
      <w:pPr>
        <w:spacing w:line="360" w:lineRule="auto" w:after="40"/>
        <w:ind w:firstLine="420"/>
      </w:pPr>
      <w:r>
        <w:t>选项A主张“不考虑风险状况”施行统一控制，这与RBA“基于风险暴露程度”采取措施的原则完全相反。RBA的前提恰恰是风险各不相同，需要区别对待，而非一刀切。</w:t>
      </w:r>
    </w:p>
    <w:p>
      <w:pPr>
        <w:spacing w:before="120" w:after="40"/>
      </w:pPr>
      <w:r>
        <w:rPr>
          <w:b/>
          <w:sz w:val="21"/>
          <w:shd w:fill="D6E4F0" w:val="clear"/>
        </w:rPr>
        <w:t>C项错误：</w:t>
      </w:r>
    </w:p>
    <w:p>
      <w:pPr>
        <w:spacing w:line="360" w:lineRule="auto" w:after="40"/>
        <w:ind w:firstLine="420"/>
      </w:pPr>
      <w:r>
        <w:t>教材指出金融犯罪防控风险评估旨在确保合规、加强风险管理并维持健康可持续的业务</w:t>
      </w:r>
      <w:r>
        <w:rPr>
          <w:sz w:val="15"/>
          <w:vertAlign w:val="superscript"/>
        </w:rPr>
        <w:t>P269</w:t>
      </w:r>
      <w:r>
        <w:t>。这并未将合规与客户体验、运营效率对立起来，更未要求“将合规置于……之上”。题干更直接匹配B项“按风险分配资源”这一核心机制，而非合规与运营的优先级排序。</w:t>
      </w:r>
    </w:p>
    <w:p>
      <w:pPr>
        <w:spacing w:before="120" w:after="40"/>
      </w:pPr>
      <w:r>
        <w:rPr>
          <w:b/>
          <w:sz w:val="21"/>
          <w:shd w:fill="D6E4F0" w:val="clear"/>
        </w:rPr>
        <w:t>D项错误：</w:t>
      </w:r>
    </w:p>
    <w:p>
      <w:pPr>
        <w:spacing w:line="360" w:lineRule="auto" w:after="40"/>
        <w:ind w:firstLine="420"/>
      </w:pPr>
      <w:r>
        <w:t>自动化系统是执行风险控制的手段之一，而题干问的是RBA“了解和管理风险”的整体方法逻辑。RBA的核心是先识别、评估风险，再分配资源；自动化只是资源分配后可能采用的具体工具，不如B项直接反映RBA的方法论本质。</w:t>
      </w:r>
    </w:p>
    <w:p>
      <w:pPr>
        <w:spacing w:before="120" w:after="40"/>
      </w:pPr>
      <w:r>
        <w:rPr>
          <w:b/>
          <w:sz w:val="21"/>
          <w:shd w:fill="D6E4F0" w:val="clear"/>
        </w:rPr>
        <w:t>易错提醒：</w:t>
      </w:r>
    </w:p>
    <w:p>
      <w:pPr>
        <w:spacing w:line="360" w:lineRule="auto" w:after="40"/>
        <w:ind w:firstLine="420"/>
      </w:pPr>
      <w:r>
        <w:t>“统一控制”与“差异化措施”是易混淆点。RBA的精髓在于后者：风险越高，投入越多；风险越低，措施可相应简化。P267明确指出“并非所有风险都适用于每个机构”，此即差异化根源。</w:t>
      </w:r>
    </w:p>
    <w:p>
      <w:pPr>
        <w:spacing w:line="360" w:lineRule="auto" w:after="120"/>
      </w:pPr>
      <w:r/>
    </w:p>
    <w:p>
      <w:pPr>
        <w:spacing w:line="360" w:lineRule="auto" w:after="40"/>
      </w:pPr>
      <w:r>
        <w:t>6. How should national and sectoral risk assessments influence an organization's risk-based approach and internal risk assessment?</w:t>
      </w:r>
    </w:p>
    <w:p>
      <w:pPr>
        <w:spacing w:line="360" w:lineRule="auto" w:after="20"/>
        <w:ind w:firstLine="283"/>
      </w:pPr>
      <w:r>
        <w:t>A. They should be referenced and integrated appropriately into an organization's risk assessment to tailor enhanced due diligence (EDD) procedures and allocate resources effectively</w:t>
      </w:r>
    </w:p>
    <w:p>
      <w:pPr>
        <w:spacing w:line="360" w:lineRule="auto" w:after="20"/>
        <w:ind w:firstLine="283"/>
      </w:pPr>
      <w:r>
        <w:t>B. They provide general guidance but do not need to be directly considered because internal risk factors are more important</w:t>
      </w:r>
    </w:p>
    <w:p>
      <w:pPr>
        <w:spacing w:line="360" w:lineRule="auto" w:after="20"/>
        <w:ind w:firstLine="283"/>
      </w:pPr>
      <w:r>
        <w:t>C. They should only be referenced for high-risk clients as they are designed for worst-case scenarios</w:t>
      </w:r>
    </w:p>
    <w:p>
      <w:pPr>
        <w:spacing w:line="360" w:lineRule="auto" w:after="20"/>
        <w:ind w:firstLine="283"/>
      </w:pPr>
      <w:r>
        <w:t>D. They are primarily intended for regulators and should not influence the organization's risk assessment</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国家/行业风险评估如何纳入组织内部风险评估</w:t>
      </w:r>
    </w:p>
    <w:p>
      <w:pPr>
        <w:spacing w:before="120" w:after="40"/>
      </w:pPr>
      <w:r>
        <w:rPr>
          <w:b/>
          <w:sz w:val="21"/>
          <w:shd w:fill="D6E4F0" w:val="clear"/>
        </w:rPr>
        <w:t>核心解析：</w:t>
      </w:r>
    </w:p>
    <w:p>
      <w:pPr>
        <w:spacing w:line="360" w:lineRule="auto" w:after="40"/>
        <w:ind w:firstLine="420"/>
      </w:pPr>
      <w:r>
        <w:t>企业全面风险评估（EWRA）分析并评估组织内部识别的洗钱与恐怖融资风险，根据组织自身情况定制，考虑客户、地域、产品和渠道特征</w:t>
      </w:r>
      <w:r>
        <w:rPr>
          <w:sz w:val="15"/>
          <w:vertAlign w:val="superscript"/>
        </w:rPr>
        <w:t>P268</w:t>
      </w:r>
      <w:r>
        <w:t>。在制定EWRA时，组织应将</w:t>
      </w:r>
      <w:r>
        <w:rPr>
          <w:b/>
        </w:rPr>
        <w:t>国家和行业风险评估（NRA/SRA）的见解纳入考虑</w:t>
      </w:r>
      <w:r>
        <w:t>——“EWRAs should include consideration of the risks identified in the NRAs and SRAs for any jurisdiction in which they do business or plan to do business”</w:t>
      </w:r>
      <w:r>
        <w:rPr>
          <w:sz w:val="15"/>
          <w:vertAlign w:val="superscript"/>
        </w:rPr>
        <w:t>P268</w:t>
      </w:r>
      <w:r>
        <w:t>。这意味着NRA和SRA不是外部参考文件，而是EWRA的输入要素。借助这些外部评估的洞察，组织可以更准确地管理内部风险，并根据风险水平做出明智决策，有效分配资源——“Allocate resources efficiently by making informed decisions based on risk levels”</w:t>
      </w:r>
      <w:r>
        <w:rPr>
          <w:sz w:val="15"/>
          <w:vertAlign w:val="superscript"/>
        </w:rPr>
        <w:t>P268</w:t>
      </w:r>
      <w:r>
        <w:t>。题干问的是国家和行业风险评估应如何影响组织的风险为本方法和内部风险评估，选项A“恰当地引用并纳入，以定制EDD程序并有效分配资源”正好对应了教材中EWRA纳入NRA/SRA见解、并据此分配资源这一逻辑链条。</w:t>
      </w:r>
    </w:p>
    <w:p>
      <w:pPr>
        <w:spacing w:before="120" w:after="40"/>
      </w:pPr>
      <w:r>
        <w:rPr>
          <w:b/>
          <w:sz w:val="21"/>
          <w:shd w:fill="D6E4F0" w:val="clear"/>
        </w:rPr>
        <w:t>教材原句：</w:t>
      </w:r>
    </w:p>
    <w:p>
      <w:pPr>
        <w:spacing w:line="360" w:lineRule="auto" w:after="40"/>
        <w:ind w:firstLine="420"/>
      </w:pPr>
      <w:r>
        <w:t>"EWRAs should include consideration of the risks identified in the NRAs and SRAs for any jurisdiction in which they do business or plan to do business."</w:t>
      </w:r>
    </w:p>
    <w:p>
      <w:pPr>
        <w:spacing w:before="120" w:after="40"/>
      </w:pPr>
      <w:r>
        <w:rPr>
          <w:b/>
          <w:sz w:val="21"/>
          <w:shd w:fill="D6E4F0" w:val="clear"/>
        </w:rPr>
        <w:t>B项错误：</w:t>
      </w:r>
    </w:p>
    <w:p>
      <w:pPr>
        <w:spacing w:line="360" w:lineRule="auto" w:after="40"/>
        <w:ind w:firstLine="420"/>
      </w:pPr>
      <w:r>
        <w:t>选项B称NRA/SRA提供一般性指导但无需直接考虑，因为内部因素更重要。然而教材明确指出EWRA应将NRA/SRA识别的风险纳入考虑</w:t>
      </w:r>
      <w:r>
        <w:rPr>
          <w:sz w:val="15"/>
          <w:vertAlign w:val="superscript"/>
        </w:rPr>
        <w:t>P268</w:t>
      </w:r>
      <w:r>
        <w:t>，外部评估与内部因素是整合关系而非替代关系，题干更直接支持纳入而非忽略。</w:t>
      </w:r>
    </w:p>
    <w:p>
      <w:pPr>
        <w:spacing w:before="120" w:after="40"/>
      </w:pPr>
      <w:r>
        <w:rPr>
          <w:b/>
          <w:sz w:val="21"/>
          <w:shd w:fill="D6E4F0" w:val="clear"/>
        </w:rPr>
        <w:t>C项错误：</w:t>
      </w:r>
    </w:p>
    <w:p>
      <w:pPr>
        <w:spacing w:line="360" w:lineRule="auto" w:after="40"/>
        <w:ind w:firstLine="420"/>
      </w:pPr>
      <w:r>
        <w:t>选项C将NRA/SRA的适用范围限定为“高风险客户”。但NRA是对整个司法管辖区的评估，SRA是对整个行业的评估，它们在EWRA层面被纳入考量时并不局限于高风险客户群体，风险为本方法要求对所有客户按其风险水平采取相应措施</w:t>
      </w:r>
      <w:r>
        <w:rPr>
          <w:sz w:val="15"/>
          <w:vertAlign w:val="superscript"/>
        </w:rPr>
        <w:t>P285</w:t>
      </w:r>
      <w:r>
        <w:t>，而非仅为高风险客户参考。</w:t>
      </w:r>
    </w:p>
    <w:p>
      <w:pPr>
        <w:spacing w:before="120" w:after="40"/>
      </w:pPr>
      <w:r>
        <w:rPr>
          <w:b/>
          <w:sz w:val="21"/>
          <w:shd w:fill="D6E4F0" w:val="clear"/>
        </w:rPr>
        <w:t>D项错误：</w:t>
      </w:r>
    </w:p>
    <w:p>
      <w:pPr>
        <w:spacing w:line="360" w:lineRule="auto" w:after="40"/>
        <w:ind w:firstLine="420"/>
      </w:pPr>
      <w:r>
        <w:t>选项D称NRA/SRA主要面向监管机构、不应影响组织风险评估。教材指出各类风险评估应相互关联以形成有效的风险为本框架</w:t>
      </w:r>
      <w:r>
        <w:rPr>
          <w:sz w:val="15"/>
          <w:vertAlign w:val="superscript"/>
        </w:rPr>
        <w:t>P268</w:t>
      </w:r>
      <w:r>
        <w:t>，且NRA/SRA帮助组织管理内部风险</w:t>
      </w:r>
      <w:r>
        <w:rPr>
          <w:sz w:val="15"/>
          <w:vertAlign w:val="superscript"/>
        </w:rPr>
        <w:t>P268</w:t>
      </w:r>
      <w:r>
        <w:t>，不限于监管机构使用。组织在开展EWRA时必须纳入这些外部评估的见解，而非将其排除在外。</w:t>
      </w:r>
    </w:p>
    <w:p>
      <w:pPr>
        <w:spacing w:before="120" w:after="40"/>
      </w:pPr>
      <w:r>
        <w:rPr>
          <w:b/>
          <w:sz w:val="21"/>
          <w:shd w:fill="D6E4F0" w:val="clear"/>
        </w:rPr>
        <w:t>易错提醒：</w:t>
      </w:r>
    </w:p>
    <w:p>
      <w:pPr>
        <w:spacing w:line="360" w:lineRule="auto" w:after="40"/>
        <w:ind w:firstLine="420"/>
      </w:pPr>
      <w:r>
        <w:t>NRA/SRA提供的是宏观层面的风险画像，容易让人误以为它们只是“大背景”而与机构自身风险评估无关。教材的区分标准是：NRA/SRA被EWRA“纳入”（include consideration of），而非“仅供参考”（general guidance）。它们是输入要素，不是可考虑可不考虑的外部文件。</w:t>
      </w:r>
    </w:p>
    <w:p>
      <w:pPr>
        <w:spacing w:line="360" w:lineRule="auto" w:after="120"/>
      </w:pPr>
      <w:r/>
    </w:p>
    <w:p>
      <w:pPr>
        <w:spacing w:line="360" w:lineRule="auto" w:after="40"/>
      </w:pPr>
      <w:r>
        <w:t>7. A multinational corporation is considering expanding into a new market with a history of political instability and corruption. Which strategy would be most effective in mitigating reputational risk from a financial crime perspective associated with such an expansion?</w:t>
      </w:r>
    </w:p>
    <w:p>
      <w:pPr>
        <w:spacing w:line="360" w:lineRule="auto" w:after="20"/>
        <w:ind w:firstLine="283"/>
      </w:pPr>
      <w:r>
        <w:t>A. Ensure the jurisdiction risks and other relevant factors have been taken into consideration in the EWRA and the residual risks are within the corporation's risk appetite</w:t>
      </w:r>
    </w:p>
    <w:p>
      <w:pPr>
        <w:spacing w:line="360" w:lineRule="auto" w:after="20"/>
        <w:ind w:firstLine="283"/>
      </w:pPr>
      <w:r>
        <w:t>B. Partnering with established local businesses to leverage their knowledge and connections while sharing risks</w:t>
      </w:r>
    </w:p>
    <w:p>
      <w:pPr>
        <w:spacing w:line="360" w:lineRule="auto" w:after="20"/>
        <w:ind w:firstLine="283"/>
      </w:pPr>
      <w:r>
        <w:t>C. Ensuring the company has strong ties with local government officials to influence policy and avoid negative scrutiny</w:t>
      </w:r>
    </w:p>
    <w:p>
      <w:pPr>
        <w:spacing w:line="360" w:lineRule="auto" w:after="20"/>
        <w:ind w:firstLine="283"/>
      </w:pPr>
      <w:r>
        <w:t>D. Committing to open communication, ethical practices, and community engagement to build trust with stakeholders</w:t>
      </w:r>
    </w:p>
    <w:p>
      <w:pPr>
        <w:spacing w:line="360" w:lineRule="auto" w:after="20"/>
        <w:ind w:firstLine="283"/>
      </w:pPr>
      <w:r>
        <w:t>E. Minimizing the company's direct presence in the country to reduce exposure to potential risks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EWRA如何为高风险地区的业务扩张决策提供风险依据</w:t>
      </w:r>
    </w:p>
    <w:p>
      <w:pPr>
        <w:spacing w:before="120" w:after="40"/>
      </w:pPr>
      <w:r>
        <w:rPr>
          <w:b/>
          <w:sz w:val="21"/>
          <w:shd w:fill="D6E4F0" w:val="clear"/>
        </w:rPr>
        <w:t>核心解析：</w:t>
      </w:r>
    </w:p>
    <w:p>
      <w:pPr>
        <w:spacing w:line="360" w:lineRule="auto" w:after="40"/>
        <w:ind w:firstLine="420"/>
      </w:pPr>
      <w:r>
        <w:t>企业全面风险评估（EWRA）是分析并评估组织内部洗钱与恐怖融资风险的工具</w:t>
      </w:r>
      <w:r>
        <w:rPr>
          <w:sz w:val="15"/>
          <w:vertAlign w:val="superscript"/>
        </w:rPr>
        <w:t>P268</w:t>
      </w:r>
      <w:r>
        <w:t>，它根据组织自身情况定制，考虑地域、客户、产品等特征</w:t>
      </w:r>
      <w:r>
        <w:rPr>
          <w:sz w:val="15"/>
          <w:vertAlign w:val="superscript"/>
        </w:rPr>
        <w:t>P268</w:t>
      </w:r>
      <w:r>
        <w:t>。其标准流程是先确定固有风险，再评估控制有效性，最终计算出剩余风险</w:t>
      </w:r>
      <w:r>
        <w:rPr>
          <w:sz w:val="15"/>
          <w:vertAlign w:val="superscript"/>
        </w:rPr>
        <w:t>P268</w:t>
      </w:r>
      <w:r>
        <w:t>。题干的关键在于，这是一次“正在考虑中”的扩张——还没有真正迈入那个腐败严重的市场。在这个决策阶段，EWRA的直接用途就是辅助业务决策：企业领导者可以利用EWRA</w:t>
      </w:r>
      <w:r>
        <w:rPr>
          <w:b/>
        </w:rPr>
        <w:t>评估潜在风险和成本，从而就是否扩张做出明智决定</w:t>
      </w:r>
      <w:r>
        <w:rPr>
          <w:sz w:val="15"/>
          <w:vertAlign w:val="superscript"/>
        </w:rPr>
        <w:t>P268</w:t>
      </w:r>
      <w:r>
        <w:t>。选项A精确地卡住了这个节点——把管辖权风险（即题干中政治不稳定且腐败的风险）纳入EWRA，并确认剩余风险在公司的风险承受范围内。这意味着风险经过了系统化评估、对照内部风险偏好进行了衡量，而非直接跳到“进入后怎么办”的具体操作手段。题干问的是“从金融犯罪角度缓解声誉风险最有效的策略”，在进入之前先评估、再决定，是教材框架下最上游、最前置的控制环节，也是其他所有操作（如后续监控、合作模式选择）的基础。相比之下，其他选项更像是进入市场之后的具体做法，并没有触及决策前的风险评估核心。</w:t>
      </w:r>
    </w:p>
    <w:p>
      <w:pPr>
        <w:spacing w:before="120" w:after="40"/>
      </w:pPr>
      <w:r>
        <w:rPr>
          <w:b/>
          <w:sz w:val="21"/>
          <w:shd w:fill="D6E4F0" w:val="clear"/>
        </w:rPr>
        <w:t>教材原句：</w:t>
      </w:r>
    </w:p>
    <w:p>
      <w:pPr>
        <w:spacing w:line="360" w:lineRule="auto" w:after="40"/>
        <w:ind w:firstLine="420"/>
      </w:pPr>
      <w:r>
        <w:t>"Business leaders can use the EWRA to assess potential risks and estimate the cost to serve. This helps them make informed decisions about whether to expand or pursue new ventures."</w:t>
      </w:r>
    </w:p>
    <w:p>
      <w:pPr>
        <w:spacing w:before="120" w:after="40"/>
      </w:pPr>
      <w:r>
        <w:rPr>
          <w:b/>
          <w:sz w:val="21"/>
          <w:shd w:fill="D6E4F0" w:val="clear"/>
        </w:rPr>
        <w:t>B项错误：</w:t>
      </w:r>
    </w:p>
    <w:p>
      <w:pPr>
        <w:spacing w:line="360" w:lineRule="auto" w:after="40"/>
        <w:ind w:firstLine="420"/>
      </w:pPr>
      <w:r>
        <w:t>在高风险地区使用中介的跨国公司面临更高的贿赂风险</w:t>
      </w:r>
      <w:r>
        <w:rPr>
          <w:sz w:val="15"/>
          <w:vertAlign w:val="superscript"/>
        </w:rPr>
        <w:t>P27</w:t>
      </w:r>
      <w:r>
        <w:t>，与当地企业合作虽然看似能共享风险，但第三方的知识和人脉本身就可能是腐败的通道。题干情景更需要一个在进入前评估风险的工具（EWRA），而非直接跳到一个本身可能引入新风险的操作手段。</w:t>
      </w:r>
    </w:p>
    <w:p>
      <w:pPr>
        <w:spacing w:before="120" w:after="40"/>
      </w:pPr>
      <w:r>
        <w:rPr>
          <w:b/>
          <w:sz w:val="21"/>
          <w:shd w:fill="D6E4F0" w:val="clear"/>
        </w:rPr>
        <w:t>C项错误：</w:t>
      </w:r>
    </w:p>
    <w:p>
      <w:pPr>
        <w:spacing w:line="360" w:lineRule="auto" w:after="40"/>
        <w:ind w:firstLine="420"/>
      </w:pPr>
      <w:r>
        <w:t>贿赂指给予或收受金钱或资产以换取权力滥用</w:t>
      </w:r>
      <w:r>
        <w:rPr>
          <w:sz w:val="15"/>
          <w:vertAlign w:val="superscript"/>
        </w:rPr>
        <w:t>P25</w:t>
      </w:r>
      <w:r>
        <w:t>，而政府官员尤其容易腐败</w:t>
      </w:r>
      <w:r>
        <w:rPr>
          <w:sz w:val="15"/>
          <w:vertAlign w:val="superscript"/>
        </w:rPr>
        <w:t>P25</w:t>
      </w:r>
      <w:r>
        <w:t>。“与政府官员保持密切联系以影响政策并避免审查”在教材框架下本身就带有腐败风险的表征，这与题干所要求的“缓解声誉风险”方向相反。</w:t>
      </w:r>
    </w:p>
    <w:p>
      <w:pPr>
        <w:spacing w:before="120" w:after="40"/>
      </w:pPr>
      <w:r>
        <w:rPr>
          <w:b/>
          <w:sz w:val="21"/>
          <w:shd w:fill="D6E4F0" w:val="clear"/>
        </w:rPr>
        <w:t>D项错误：</w:t>
      </w:r>
    </w:p>
    <w:p>
      <w:pPr>
        <w:spacing w:line="360" w:lineRule="auto" w:after="40"/>
        <w:ind w:firstLine="420"/>
      </w:pPr>
      <w:r>
        <w:t>开放沟通与道德实践是良好的企业公民行为，但题干明确问“从金融犯罪角度”哪种策略最有效。该选项缺乏EWRA那样系统的风险识别与量化框架，更像是一个通用的公共关系策略。在教材的证据框架中，它不直接处理金融犯罪风险下的声誉风险决策，与题干的匹配度不如通过EWRA进行定量决策来得直接。</w:t>
      </w:r>
    </w:p>
    <w:p>
      <w:pPr>
        <w:spacing w:before="120" w:after="40"/>
      </w:pPr>
      <w:r>
        <w:rPr>
          <w:b/>
          <w:sz w:val="21"/>
          <w:shd w:fill="D6E4F0" w:val="clear"/>
        </w:rPr>
        <w:t>E项错误：</w:t>
      </w:r>
    </w:p>
    <w:p>
      <w:pPr>
        <w:spacing w:line="360" w:lineRule="auto" w:after="40"/>
        <w:ind w:firstLine="420"/>
      </w:pPr>
      <w:r>
        <w:t>完全规避特定风险确实能最小化对高风险领域的敞口</w:t>
      </w:r>
      <w:r>
        <w:rPr>
          <w:sz w:val="15"/>
          <w:vertAlign w:val="superscript"/>
        </w:rPr>
        <w:t>P273</w:t>
      </w:r>
      <w:r>
        <w:t>，这作为一种风险偏好声明（零容忍）是存在的。但题干问的是“正在考虑进入”阶段的“最有效”策略，EWRA提供的是一个先评估再决定的路径，而直接最小化存在相当于在未完成系统评估时就做出了方向性决策，不如A在决策逻辑上更靠前、更完整。</w:t>
      </w:r>
    </w:p>
    <w:p>
      <w:pPr>
        <w:spacing w:line="360" w:lineRule="auto" w:after="120"/>
      </w:pPr>
      <w:r/>
    </w:p>
    <w:p>
      <w:pPr>
        <w:spacing w:line="360" w:lineRule="auto" w:after="40"/>
      </w:pPr>
      <w:r>
        <w:t>8. What is the first step in designing an effective controls framework using a risk-based approach?</w:t>
      </w:r>
    </w:p>
    <w:p>
      <w:pPr>
        <w:spacing w:line="360" w:lineRule="auto" w:after="20"/>
        <w:ind w:firstLine="283"/>
      </w:pPr>
      <w:r>
        <w:t>A. Establishing risk controls</w:t>
      </w:r>
    </w:p>
    <w:p>
      <w:pPr>
        <w:spacing w:line="360" w:lineRule="auto" w:after="20"/>
        <w:ind w:firstLine="283"/>
      </w:pPr>
      <w:r>
        <w:t>B. Assessing risk controls</w:t>
      </w:r>
    </w:p>
    <w:p>
      <w:pPr>
        <w:spacing w:line="360" w:lineRule="auto" w:after="20"/>
        <w:ind w:firstLine="283"/>
      </w:pPr>
      <w:r>
        <w:t>C. Ongoing risk monitoring</w:t>
      </w:r>
    </w:p>
    <w:p>
      <w:pPr>
        <w:spacing w:line="360" w:lineRule="auto" w:after="20"/>
        <w:ind w:firstLine="283"/>
      </w:pPr>
      <w:r>
        <w:t>D. Conducting a risk assessment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风险为本控制框架中风险评估与控制评价的先后顺序</w:t>
      </w:r>
    </w:p>
    <w:p>
      <w:pPr>
        <w:spacing w:before="120" w:after="40"/>
      </w:pPr>
      <w:r>
        <w:rPr>
          <w:b/>
          <w:sz w:val="21"/>
          <w:shd w:fill="D6E4F0" w:val="clear"/>
        </w:rPr>
        <w:t>核心解析：</w:t>
      </w:r>
    </w:p>
    <w:p>
      <w:pPr>
        <w:spacing w:line="360" w:lineRule="auto" w:after="40"/>
        <w:ind w:firstLine="420"/>
      </w:pPr>
      <w:r>
        <w:t>风险为本方法先识别、评估和理解洗钱及恐怖融资风险，再制定适当的风险缓解措施</w:t>
      </w:r>
      <w:r>
        <w:rPr>
          <w:sz w:val="15"/>
          <w:vertAlign w:val="superscript"/>
        </w:rPr>
        <w:t>P270</w:t>
      </w:r>
      <w:r>
        <w:t>；相应的风险管理流程也将识别、评估风险置于制定控制和监测策略之前</w:t>
      </w:r>
      <w:r>
        <w:rPr>
          <w:sz w:val="15"/>
          <w:vertAlign w:val="superscript"/>
        </w:rPr>
        <w:t>P271</w:t>
      </w:r>
      <w:r>
        <w:t>。企业全面风险评估的具体顺序是：</w:t>
      </w:r>
      <w:r>
        <w:rPr>
          <w:b/>
        </w:rPr>
        <w:t>确定固有风险、评估控制有效性、计算剩余风险、制定针对最高风险的行动计划</w:t>
      </w:r>
      <w:r>
        <w:rPr>
          <w:sz w:val="15"/>
          <w:vertAlign w:val="superscript"/>
        </w:rPr>
        <w:t>P268</w:t>
      </w:r>
      <w:r>
        <w:t>。因此，无论机构是否已经存在控制，都必须先确定和评估所面对的固有风险，题干所问的第一步应是D“进行风险评估”。</w:t>
      </w:r>
    </w:p>
    <w:p>
      <w:pPr>
        <w:spacing w:line="360" w:lineRule="auto" w:after="40"/>
        <w:ind w:firstLine="420"/>
      </w:pPr>
      <w:r>
        <w:t>风险评估能够帮助组织了解风险类型及其潜在影响</w:t>
      </w:r>
      <w:r>
        <w:rPr>
          <w:sz w:val="15"/>
          <w:vertAlign w:val="superscript"/>
        </w:rPr>
        <w:t>P280</w:t>
      </w:r>
      <w:r>
        <w:t>。在尚未识别和评估固有风险时，机构既不能有针对性地建立控制，也不能准确判断现有控制是否足以缓解相关风险。</w:t>
      </w:r>
    </w:p>
    <w:p>
      <w:pPr>
        <w:spacing w:before="120" w:after="40"/>
      </w:pPr>
      <w:r>
        <w:rPr>
          <w:b/>
          <w:sz w:val="21"/>
          <w:shd w:fill="D6E4F0" w:val="clear"/>
        </w:rPr>
        <w:t>教材原句：</w:t>
      </w:r>
    </w:p>
    <w:p>
      <w:pPr>
        <w:spacing w:line="360" w:lineRule="auto" w:after="40"/>
        <w:ind w:firstLine="420"/>
      </w:pPr>
      <w:r>
        <w:t>"The process begins by establishing inherent risks, assessing the effectiveness of controls, computing the residual risk, and obtaining a clear action plan on mitigating the highest risks."</w:t>
      </w:r>
    </w:p>
    <w:p>
      <w:pPr>
        <w:spacing w:before="120" w:after="40"/>
      </w:pPr>
      <w:r>
        <w:rPr>
          <w:b/>
          <w:sz w:val="21"/>
          <w:shd w:fill="D6E4F0" w:val="clear"/>
        </w:rPr>
        <w:t>A项错误：</w:t>
      </w:r>
    </w:p>
    <w:p>
      <w:pPr>
        <w:spacing w:line="360" w:lineRule="auto" w:after="40"/>
        <w:ind w:firstLine="420"/>
      </w:pPr>
      <w:r>
        <w:t>建立风险控制应以已经识别和评估的风险为依据。教材将制定控制策略置于风险识别和评估之后</w:t>
      </w:r>
      <w:r>
        <w:rPr>
          <w:sz w:val="15"/>
          <w:vertAlign w:val="superscript"/>
        </w:rPr>
        <w:t>P271</w:t>
      </w:r>
      <w:r>
        <w:t>，因此A不是控制框架设计的第一步。</w:t>
      </w:r>
    </w:p>
    <w:p>
      <w:pPr>
        <w:spacing w:before="120" w:after="40"/>
      </w:pPr>
      <w:r>
        <w:rPr>
          <w:b/>
          <w:sz w:val="21"/>
          <w:shd w:fill="D6E4F0" w:val="clear"/>
        </w:rPr>
        <w:t>B项错误：</w:t>
      </w:r>
    </w:p>
    <w:p>
      <w:pPr>
        <w:spacing w:line="360" w:lineRule="auto" w:after="40"/>
        <w:ind w:firstLine="420"/>
      </w:pPr>
      <w:r>
        <w:t>评估风险控制措施是判断现有控制对固有风险的缓解效果。教材明确将“确定固有风险”置于“评估控制有效性”之前</w:t>
      </w:r>
      <w:r>
        <w:rPr>
          <w:sz w:val="15"/>
          <w:vertAlign w:val="superscript"/>
        </w:rPr>
        <w:t>P268</w:t>
      </w:r>
      <w:r>
        <w:t>，所以即使机构已经存在控制，B仍不是第一步。</w:t>
      </w:r>
    </w:p>
    <w:p>
      <w:pPr>
        <w:spacing w:before="120" w:after="40"/>
      </w:pPr>
      <w:r>
        <w:rPr>
          <w:b/>
          <w:sz w:val="21"/>
          <w:shd w:fill="D6E4F0" w:val="clear"/>
        </w:rPr>
        <w:t>C项错误：</w:t>
      </w:r>
    </w:p>
    <w:p>
      <w:pPr>
        <w:spacing w:line="360" w:lineRule="auto" w:after="40"/>
        <w:ind w:firstLine="420"/>
      </w:pPr>
      <w:r>
        <w:t>持续风险监测属于风险识别、评估并制定控制策略后的持续活动</w:t>
      </w:r>
      <w:r>
        <w:rPr>
          <w:sz w:val="15"/>
          <w:vertAlign w:val="superscript"/>
        </w:rPr>
        <w:t>P271</w:t>
      </w:r>
      <w:r>
        <w:t>。必须先确定风险，才能确定后续监测的重点。</w:t>
      </w:r>
    </w:p>
    <w:p>
      <w:pPr>
        <w:spacing w:before="120" w:after="40"/>
      </w:pPr>
      <w:r>
        <w:rPr>
          <w:b/>
          <w:sz w:val="21"/>
          <w:shd w:fill="D6E4F0" w:val="clear"/>
        </w:rPr>
        <w:t>易错提醒：</w:t>
      </w:r>
    </w:p>
    <w:p>
      <w:pPr>
        <w:spacing w:line="360" w:lineRule="auto" w:after="40"/>
        <w:ind w:firstLine="420"/>
      </w:pPr>
      <w:r>
        <w:t>“进行风险评估”评估的是机构面临的固有风险；“评估风险控制措施”评价的是现有控制对这些风险的缓解效果。两者的区别不是风险评估开始时“有没有控制”，而是评价顺序：先确定固有风险，再评价控制有效性，随后计算剩余风险并制定行动计划</w:t>
      </w:r>
      <w:r>
        <w:rPr>
          <w:sz w:val="15"/>
          <w:vertAlign w:val="superscript"/>
        </w:rPr>
        <w:t>P268</w:t>
      </w:r>
      <w:r>
        <w:t>。</w:t>
      </w:r>
    </w:p>
    <w:p>
      <w:pPr>
        <w:spacing w:line="360" w:lineRule="auto" w:after="120"/>
      </w:pPr>
      <w:r/>
    </w:p>
    <w:p>
      <w:pPr>
        <w:spacing w:line="360" w:lineRule="auto" w:after="40"/>
      </w:pPr>
      <w:r>
        <w:t>9. Which control would be most effective as part of a risk-based approach (RBA) to managing AML/CFT risk for a bank established in the EU that also has a branch in a high-risk third country outside of the EU?</w:t>
      </w:r>
    </w:p>
    <w:p>
      <w:pPr>
        <w:spacing w:line="360" w:lineRule="auto" w:after="20"/>
        <w:ind w:firstLine="283"/>
      </w:pPr>
      <w:r>
        <w:t>A. Fully rely on central beneficial owner registry records in the high-risk third country to determine the ultimate beneficial owners of all customers</w:t>
      </w:r>
    </w:p>
    <w:p>
      <w:pPr>
        <w:spacing w:line="360" w:lineRule="auto" w:after="20"/>
        <w:ind w:firstLine="283"/>
      </w:pPr>
      <w:r>
        <w:t>B. Apply tailored due diligence measures, based on the level of risk posed by each customer following risk assessment</w:t>
      </w:r>
    </w:p>
    <w:p>
      <w:pPr>
        <w:spacing w:line="360" w:lineRule="auto" w:after="20"/>
        <w:ind w:firstLine="283"/>
      </w:pPr>
      <w:r>
        <w:t>C. Monitor every cross-border transaction in real time, flagging all for enhanced scrutiny due to the country risk level</w:t>
      </w:r>
    </w:p>
    <w:p>
      <w:pPr>
        <w:spacing w:line="360" w:lineRule="auto" w:after="20"/>
        <w:ind w:firstLine="283"/>
      </w:pPr>
      <w:r>
        <w:t>D. Apply enhanced customer due diligence measures automatically to all customers of the high-risk third-country branch, regardless of their risk level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风险为本方法的核心：按风险程度匹配措施，不成比例或一刀切均不符合RBA</w:t>
      </w:r>
    </w:p>
    <w:p>
      <w:pPr>
        <w:spacing w:before="120" w:after="40"/>
      </w:pPr>
      <w:r>
        <w:rPr>
          <w:b/>
          <w:sz w:val="21"/>
          <w:shd w:fill="D6E4F0" w:val="clear"/>
        </w:rPr>
        <w:t>核心解析：</w:t>
      </w:r>
    </w:p>
    <w:p>
      <w:pPr>
        <w:spacing w:line="360" w:lineRule="auto" w:after="40"/>
        <w:ind w:firstLine="420"/>
      </w:pPr>
      <w:r>
        <w:t>风险为本方法（RBA）要求机构</w:t>
      </w:r>
      <w:r>
        <w:rPr>
          <w:b/>
        </w:rPr>
        <w:t>识别、评估和理解洗钱/恐怖融资风险，并采取适当措施有效缓解风险</w:t>
      </w:r>
      <w:r>
        <w:rPr>
          <w:sz w:val="15"/>
          <w:vertAlign w:val="superscript"/>
        </w:rPr>
        <w:t>P270</w:t>
      </w:r>
      <w:r>
        <w:t>；准确判断客户潜在金融犯罪风险，是采用RBA的重要前提</w:t>
      </w:r>
      <w:r>
        <w:rPr>
          <w:sz w:val="15"/>
          <w:vertAlign w:val="superscript"/>
        </w:rPr>
        <w:t>P271</w:t>
      </w:r>
      <w:r>
        <w:t>。高风险司法管辖区是需要纳入评估的风险因素：FATF相关要求提出，应对与其认定的高风险司法管辖区内个人或机构之间的业务关系和交易实施强化尽职调查</w:t>
      </w:r>
      <w:r>
        <w:rPr>
          <w:sz w:val="15"/>
          <w:vertAlign w:val="superscript"/>
        </w:rPr>
        <w:t>P148</w:t>
      </w:r>
      <w:r>
        <w:t>。但题干选项D的范围更宽，它要求仅凭分支机构所在地，对“所有客户”在“不论其风险等级”的情况下自动采取EDD，跳过了客户风险判断。相比之下，B明确包含“风险评估后”和“根据每个客户的风险程度”两个步骤，与教材所述按照风险暴露程度采取适当措施、对较高风险客户实施EDD并加强监控的逻辑完整对应</w:t>
      </w:r>
      <w:r>
        <w:rPr>
          <w:sz w:val="15"/>
          <w:vertAlign w:val="superscript"/>
        </w:rPr>
        <w:t>P267、P270</w:t>
      </w:r>
      <w:r>
        <w:t>。因此，本题按RBA原则应选B；高风险国家因素应提高审查强度，但不能把D中</w:t>
      </w:r>
      <w:r>
        <w:rPr>
          <w:b/>
        </w:rPr>
        <w:t>无视风险等级的一刀切表述</w:t>
      </w:r>
      <w:r>
        <w:t>当作RBA本身。</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p>
    <w:p>
      <w:pPr>
        <w:spacing w:before="120" w:after="40"/>
      </w:pPr>
      <w:r>
        <w:rPr>
          <w:b/>
          <w:sz w:val="21"/>
          <w:shd w:fill="D6E4F0" w:val="clear"/>
        </w:rPr>
        <w:t>A项错误：</w:t>
      </w:r>
    </w:p>
    <w:p>
      <w:pPr>
        <w:spacing w:line="360" w:lineRule="auto" w:after="40"/>
        <w:ind w:firstLine="420"/>
      </w:pPr>
      <w:r>
        <w:t>题干的核心是“管理AML/CFT风险”而非“获取受益所有人信息的手段”。教材要求以风险为本方法核实受益所有人身份并采取合理措施</w:t>
      </w:r>
      <w:r>
        <w:rPr>
          <w:sz w:val="15"/>
          <w:vertAlign w:val="superscript"/>
        </w:rPr>
        <w:t>P339</w:t>
      </w:r>
      <w:r>
        <w:t>，“完全依赖”某个外部登记册放弃独立核实，与RBA所要求的“合理”标准匹配度不如B。</w:t>
      </w:r>
    </w:p>
    <w:p>
      <w:pPr>
        <w:spacing w:before="120" w:after="40"/>
      </w:pPr>
      <w:r>
        <w:rPr>
          <w:b/>
          <w:sz w:val="21"/>
          <w:shd w:fill="D6E4F0" w:val="clear"/>
        </w:rPr>
        <w:t>C项错误：</w:t>
      </w:r>
    </w:p>
    <w:p>
      <w:pPr>
        <w:spacing w:line="360" w:lineRule="auto" w:after="40"/>
        <w:ind w:firstLine="420"/>
      </w:pPr>
      <w:r>
        <w:t>跨境和国家风险可以支持加强监控，但C要求实时监控并标记“每笔”跨境交易。RBA要求根据风险暴露程度确定优先级和措施</w:t>
      </w:r>
      <w:r>
        <w:rPr>
          <w:sz w:val="15"/>
          <w:vertAlign w:val="superscript"/>
        </w:rPr>
        <w:t>P267</w:t>
      </w:r>
      <w:r>
        <w:t>；C没有体现先评估再区分审查强度，匹配度不如B。</w:t>
      </w:r>
    </w:p>
    <w:p>
      <w:pPr>
        <w:spacing w:before="120" w:after="40"/>
      </w:pPr>
      <w:r>
        <w:rPr>
          <w:b/>
          <w:sz w:val="21"/>
          <w:shd w:fill="D6E4F0" w:val="clear"/>
        </w:rPr>
        <w:t>D项错误：</w:t>
      </w:r>
    </w:p>
    <w:p>
      <w:pPr>
        <w:spacing w:line="360" w:lineRule="auto" w:after="40"/>
        <w:ind w:firstLine="420"/>
      </w:pPr>
      <w:r>
        <w:t>教材确实要求对与FATF认定的高风险司法管辖区内个人或机构之间的业务关系和交易实施EDD</w:t>
      </w:r>
      <w:r>
        <w:rPr>
          <w:sz w:val="15"/>
          <w:vertAlign w:val="superscript"/>
        </w:rPr>
        <w:t>P148</w:t>
      </w:r>
      <w:r>
        <w:t>，所以不能把国家风险视为无关。但D进一步规定对分支机构“所有客户”自动采取EDD且“不论其风险等级如何”，这一绝对范围并非所引规则的表述，也取消了教材要求的客户风险判断</w:t>
      </w:r>
      <w:r>
        <w:rPr>
          <w:sz w:val="15"/>
          <w:vertAlign w:val="superscript"/>
        </w:rPr>
        <w:t>P271</w:t>
      </w:r>
      <w:r>
        <w:t>。B同时纳入地域等风险因素和客户评估，更完整体现RBA。</w:t>
      </w:r>
    </w:p>
    <w:p>
      <w:pPr>
        <w:spacing w:before="120" w:after="40"/>
      </w:pPr>
      <w:r>
        <w:rPr>
          <w:b/>
          <w:sz w:val="21"/>
          <w:shd w:fill="D6E4F0" w:val="clear"/>
        </w:rPr>
        <w:t>易错提醒：</w:t>
      </w:r>
    </w:p>
    <w:p>
      <w:pPr>
        <w:spacing w:line="360" w:lineRule="auto" w:after="40"/>
        <w:ind w:firstLine="420"/>
      </w:pPr>
      <w:r>
        <w:t>高风险司法管辖区会提高地域风险，对与该辖区内个人或机构的业务关系和交易可能需要EDD</w:t>
      </w:r>
      <w:r>
        <w:rPr>
          <w:sz w:val="15"/>
          <w:vertAlign w:val="superscript"/>
        </w:rPr>
        <w:t>P148</w:t>
      </w:r>
      <w:r>
        <w:t>；这与D仍有范围差别。D把“分支机构位于高风险国家”直接扩展为“所有客户、不论风险等级”，而B要求把地域风险连同客户风险评估结果一起用于确定尽职调查强度</w:t>
      </w:r>
      <w:r>
        <w:rPr>
          <w:sz w:val="15"/>
          <w:vertAlign w:val="superscript"/>
        </w:rPr>
        <w:t>P267、P271</w:t>
      </w:r>
      <w:r>
        <w:t>。判断此类题时，应同时避免忽略国家风险和把单一风险因素无限扩大。</w:t>
      </w:r>
    </w:p>
    <w:p>
      <w:pPr>
        <w:spacing w:line="360" w:lineRule="auto" w:after="120"/>
      </w:pPr>
      <w:r/>
    </w:p>
    <w:p>
      <w:pPr>
        <w:spacing w:line="360" w:lineRule="auto" w:after="40"/>
      </w:pPr>
      <w:r>
        <w:t>10. Which of the following best describes one of the principal threats of proliferation financing?</w:t>
      </w:r>
    </w:p>
    <w:p>
      <w:pPr>
        <w:spacing w:line="360" w:lineRule="auto" w:after="20"/>
        <w:ind w:firstLine="283"/>
      </w:pPr>
      <w:r>
        <w:t>A. Adversary governments using sophisticated attacks to threaten critical infrastructure and sectors, including finance, health care, and energy</w:t>
      </w:r>
    </w:p>
    <w:p>
      <w:pPr>
        <w:spacing w:line="360" w:lineRule="auto" w:after="20"/>
        <w:ind w:firstLine="283"/>
      </w:pPr>
      <w:r>
        <w:t>B. Networks of individuals and entities exploiting financial systems to move funds that will be used to acquire weapons of mass destruction or their components</w:t>
      </w:r>
    </w:p>
    <w:p>
      <w:pPr>
        <w:spacing w:line="360" w:lineRule="auto" w:after="20"/>
        <w:ind w:firstLine="283"/>
      </w:pPr>
      <w:r>
        <w:t>C. Transnational criminal organizations expanding their engagement into more varied types of illicit activities, including human trafficking and corruption</w:t>
      </w:r>
    </w:p>
    <w:p>
      <w:pPr>
        <w:spacing w:line="360" w:lineRule="auto" w:after="20"/>
        <w:ind w:firstLine="283"/>
      </w:pPr>
      <w:r>
        <w:t>D. Networks of individuals and entities raising funds, in whole or in part, for their ideological goals through unlawful violence or force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扩散融资的核心定义：大规模杀伤性武器及其相关融资</w:t>
      </w:r>
    </w:p>
    <w:p>
      <w:pPr>
        <w:spacing w:before="120" w:after="40"/>
      </w:pPr>
      <w:r>
        <w:rPr>
          <w:b/>
          <w:sz w:val="21"/>
          <w:shd w:fill="D6E4F0" w:val="clear"/>
        </w:rPr>
        <w:t>核心解析：</w:t>
      </w:r>
    </w:p>
    <w:p>
      <w:pPr>
        <w:spacing w:line="360" w:lineRule="auto" w:after="40"/>
        <w:ind w:firstLine="420"/>
      </w:pPr>
      <w:r>
        <w:t>教材把扩散融资与核、化学、生物武器及其运载工具和相关材料的转让、出口联系起来</w:t>
      </w:r>
      <w:r>
        <w:rPr>
          <w:sz w:val="15"/>
          <w:vertAlign w:val="superscript"/>
        </w:rPr>
        <w:t>P269</w:t>
      </w:r>
      <w:r>
        <w:t>，并要求通过定向金融制裁预防和阻断大规模杀伤性武器扩散融资</w:t>
      </w:r>
      <w:r>
        <w:rPr>
          <w:sz w:val="15"/>
          <w:vertAlign w:val="superscript"/>
        </w:rPr>
        <w:t>P147</w:t>
      </w:r>
      <w:r>
        <w:t>。题干四个选项中，只有B同时包含“利用金融系统转移资金”和“获取大规模杀伤性武器或其部件”两个要素，完整连接了</w:t>
      </w:r>
      <w:r>
        <w:rPr>
          <w:b/>
        </w:rPr>
        <w:t>融资活动与WMD扩散目的</w:t>
      </w:r>
      <w:r>
        <w:t>。A是关键基础设施攻击，C是跨国犯罪活动扩张，D是为意识形态暴力筹资，均缺少这一组合。因此答案为B。</w:t>
      </w:r>
    </w:p>
    <w:p>
      <w:pPr>
        <w:spacing w:before="120" w:after="40"/>
      </w:pPr>
      <w:r>
        <w:rPr>
          <w:b/>
          <w:sz w:val="21"/>
          <w:shd w:fill="D6E4F0" w:val="clear"/>
        </w:rPr>
        <w:t>教材原句：</w:t>
      </w:r>
    </w:p>
    <w:p>
      <w:pPr>
        <w:spacing w:line="360" w:lineRule="auto" w:after="40"/>
        <w:ind w:firstLine="420"/>
      </w:pPr>
      <w:r>
        <w:t>"Similarly, jurisdictions should apply targeted financial sanctions to prevent and disrupt the financing of the proliferation of WMDs."</w:t>
      </w:r>
    </w:p>
    <w:p>
      <w:pPr>
        <w:spacing w:before="120" w:after="40"/>
      </w:pPr>
      <w:r>
        <w:rPr>
          <w:b/>
          <w:sz w:val="21"/>
          <w:shd w:fill="D6E4F0" w:val="clear"/>
        </w:rPr>
        <w:t>A项错误：</w:t>
      </w:r>
    </w:p>
    <w:p>
      <w:pPr>
        <w:spacing w:line="360" w:lineRule="auto" w:after="40"/>
        <w:ind w:firstLine="420"/>
      </w:pPr>
      <w:r>
        <w:t>选项A描述的是敌对政府对关键基础设施的网络攻击威胁，属于网络安全或关键基础设施保护范畴。教材中虽然有网络安全风险的相关讨论，但其定位是金融机构与第三方合作时面临的运营风险，与扩散融资的“大规模杀伤性武器”核心要素没有交集，题干条件更直接匹配B而非A。</w:t>
      </w:r>
    </w:p>
    <w:p>
      <w:pPr>
        <w:spacing w:before="120" w:after="40"/>
      </w:pPr>
      <w:r>
        <w:rPr>
          <w:b/>
          <w:sz w:val="21"/>
          <w:shd w:fill="D6E4F0" w:val="clear"/>
        </w:rPr>
        <w:t>C项错误：</w:t>
      </w:r>
    </w:p>
    <w:p>
      <w:pPr>
        <w:spacing w:line="360" w:lineRule="auto" w:after="40"/>
        <w:ind w:firstLine="420"/>
      </w:pPr>
      <w:r>
        <w:t>选项C描述的是跨国犯罪组织将活动范围扩大到人口贩运和腐败等非法活动，这是对跨国犯罪组织（TCO）特征的概括描述。教材确实提到环境犯罪常涉及跨国犯罪组织，人口贩运也可与TCO关联，但这些描述的语境是解释特定上游犯罪的复杂度，并未聚焦于大规模杀伤性武器扩散这一独特威胁。题干对扩散融资的聚焦度远高于对TCO一般犯罪活动的描述。</w:t>
      </w:r>
    </w:p>
    <w:p>
      <w:pPr>
        <w:spacing w:before="120" w:after="40"/>
      </w:pPr>
      <w:r>
        <w:rPr>
          <w:b/>
          <w:sz w:val="21"/>
          <w:shd w:fill="D6E4F0" w:val="clear"/>
        </w:rPr>
        <w:t>D项错误：</w:t>
      </w:r>
    </w:p>
    <w:p>
      <w:pPr>
        <w:spacing w:line="360" w:lineRule="auto" w:after="40"/>
        <w:ind w:firstLine="420"/>
      </w:pPr>
      <w:r>
        <w:t>选项D描述的是通过非法暴力为意识形态目标筹集资金的网络，这更接近恐怖融资（terrorism financing）的定义特征。教材在讨论恐怖融资时提到恐怖分子利用各种渠道转移和存储资金，其动机是意识形态驱动的暴力行为。扩散融资的核心是资金用于获取大规模杀伤性武器本身，而非为意识形态暴力行为筹集资金，两者的根本目的不同，题干条件更吻合B对扩散融资的定义。</w:t>
      </w:r>
    </w:p>
    <w:p>
      <w:pPr>
        <w:spacing w:before="120" w:after="40"/>
      </w:pPr>
      <w:r>
        <w:rPr>
          <w:b/>
          <w:sz w:val="21"/>
          <w:shd w:fill="D6E4F0" w:val="clear"/>
        </w:rPr>
        <w:t>易错提醒：</w:t>
      </w:r>
    </w:p>
    <w:p>
      <w:pPr>
        <w:spacing w:line="360" w:lineRule="auto" w:after="40"/>
        <w:ind w:firstLine="420"/>
      </w:pPr>
      <w:r>
        <w:t>扩散融资与恐怖融资的区分点是资金用途：本题B明确指向获取WMD及其部件</w:t>
      </w:r>
      <w:r>
        <w:rPr>
          <w:sz w:val="15"/>
          <w:vertAlign w:val="superscript"/>
        </w:rPr>
        <w:t>P269</w:t>
      </w:r>
      <w:r>
        <w:t>，D则指向为意识形态暴力筹资。两者都可能使用个人和实体网络，不能只看筹资主体，必须看资金的最终目的。</w:t>
      </w:r>
    </w:p>
    <w:p>
      <w:pPr>
        <w:spacing w:line="360" w:lineRule="auto" w:after="120"/>
      </w:pPr>
      <w:r/>
    </w:p>
    <w:p>
      <w:pPr>
        <w:spacing w:line="360" w:lineRule="auto" w:after="40"/>
      </w:pPr>
      <w:r>
        <w:t>11. How do national risk assessments (NRAs) and sectoral risk assessments influence a financial institution's (FI's) internal AML/CFT risk assessment?</w:t>
      </w:r>
    </w:p>
    <w:p>
      <w:pPr>
        <w:spacing w:line="360" w:lineRule="auto" w:after="20"/>
        <w:ind w:firstLine="283"/>
      </w:pPr>
      <w:r>
        <w:t>A. An FI must demonstrate that the risks identified in its AML/CFT risk assessment are aligned with the NRA and sectoral risk assessments and that these risks are managed effectively</w:t>
      </w:r>
    </w:p>
    <w:p>
      <w:pPr>
        <w:spacing w:line="360" w:lineRule="auto" w:after="20"/>
        <w:ind w:firstLine="283"/>
      </w:pPr>
      <w:r>
        <w:t>B. If a sectoral risk assessment is published, the FI must implement it directly across all subsidiaries and branches without modification</w:t>
      </w:r>
    </w:p>
    <w:p>
      <w:pPr>
        <w:spacing w:line="360" w:lineRule="auto" w:after="20"/>
        <w:ind w:firstLine="283"/>
      </w:pPr>
      <w:r>
        <w:t>C. An FI's AML/CFT risk assessment must be written and approved by the board of directors exactly as specified in the NRA and sectoral risk assessment</w:t>
      </w:r>
    </w:p>
    <w:p>
      <w:pPr>
        <w:spacing w:line="360" w:lineRule="auto" w:after="20"/>
        <w:ind w:firstLine="283"/>
      </w:pPr>
      <w:r>
        <w:t>D. An FI must strictly adopt the exact risk factors identified in the NRA and sectoral risk assessments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NRA/SRA作为内部EWRA的外部风险输入，而非照搬模板</w:t>
      </w:r>
    </w:p>
    <w:p>
      <w:pPr>
        <w:spacing w:before="120" w:after="40"/>
      </w:pPr>
      <w:r>
        <w:rPr>
          <w:b/>
          <w:sz w:val="21"/>
          <w:shd w:fill="D6E4F0" w:val="clear"/>
        </w:rPr>
        <w:t>核心解析：</w:t>
      </w:r>
    </w:p>
    <w:p>
      <w:pPr>
        <w:spacing w:line="360" w:lineRule="auto" w:after="40"/>
        <w:ind w:firstLine="420"/>
      </w:pPr>
      <w:r>
        <w:t>国家风险评估（NRA）、行业风险评估（SRA）和企业全面风险评估（EWRA）是三类主要风险评估，三者应相互关联，以形成有效的风险为本AFC框架</w:t>
      </w:r>
      <w:r>
        <w:rPr>
          <w:sz w:val="15"/>
          <w:vertAlign w:val="superscript"/>
        </w:rPr>
        <w:t>P268</w:t>
      </w:r>
      <w:r>
        <w:t>。同时，EWRA必须根据具体组织定制，考虑其客户、司法管辖区、产品和交付渠道，并采取有针对性的措施管理这些风险</w:t>
      </w:r>
      <w:r>
        <w:rPr>
          <w:sz w:val="15"/>
          <w:vertAlign w:val="superscript"/>
        </w:rPr>
        <w:t>P268</w:t>
      </w:r>
      <w:r>
        <w:t>。因此，</w:t>
      </w:r>
      <w:r>
        <w:rPr>
          <w:b/>
        </w:rPr>
        <w:t>内部评估应吸收国家和行业层面的相关风险认识</w:t>
      </w:r>
      <w:r>
        <w:t>，但</w:t>
      </w:r>
      <w:r>
        <w:rPr>
          <w:b/>
        </w:rPr>
        <w:t>外部评估不能取代机构自身的定制分析</w:t>
      </w:r>
      <w:r>
        <w:t>。</w:t>
      </w:r>
    </w:p>
    <w:p>
      <w:pPr>
        <w:spacing w:line="360" w:lineRule="auto" w:after="40"/>
        <w:ind w:firstLine="420"/>
      </w:pPr>
      <w:r>
        <w:t>选项A中的“aligned”应理解为内部评估已经体现并合理回应NRA/SRA识别的相关风险，而不是要求风险清单、因素或结论</w:t>
      </w:r>
      <w:r>
        <w:rPr>
          <w:b/>
        </w:rPr>
        <w:t>完全相同</w:t>
      </w:r>
      <w:r>
        <w:t>。在四个选项中，只有A同时保留了外部评估的影响和机构有效管理风险的责任。B、C、D都要求直接、完全或严格照搬，与EWRA的定制化原则不符，因此A最符合题意。</w:t>
      </w:r>
    </w:p>
    <w:p>
      <w:pPr>
        <w:spacing w:before="120" w:after="40"/>
      </w:pPr>
      <w:r>
        <w:rPr>
          <w:b/>
          <w:sz w:val="21"/>
          <w:shd w:fill="D6E4F0" w:val="clear"/>
        </w:rPr>
        <w:t>B项错误：</w:t>
      </w:r>
    </w:p>
    <w:p>
      <w:pPr>
        <w:spacing w:line="360" w:lineRule="auto" w:after="40"/>
        <w:ind w:firstLine="420"/>
      </w:pPr>
      <w:r>
        <w:t>全球性组织的EWRA应以共同方法论灵活协调开展，子公司和分支机构应被允许纳入自身运营的特定风险动态和本地要素</w:t>
      </w:r>
      <w:r>
        <w:rPr>
          <w:sz w:val="15"/>
          <w:vertAlign w:val="superscript"/>
        </w:rPr>
        <w:t>P275</w:t>
      </w:r>
      <w:r>
        <w:t>。选项B要求SRA在所有子公司和分支机构“不得修改”地直接应用，与该规则直接冲突。</w:t>
      </w:r>
    </w:p>
    <w:p>
      <w:pPr>
        <w:spacing w:before="120" w:after="40"/>
      </w:pPr>
      <w:r>
        <w:rPr>
          <w:b/>
          <w:sz w:val="21"/>
          <w:shd w:fill="D6E4F0" w:val="clear"/>
        </w:rPr>
        <w:t>C项错误：</w:t>
      </w:r>
    </w:p>
    <w:p>
      <w:pPr>
        <w:spacing w:line="360" w:lineRule="auto" w:after="40"/>
        <w:ind w:firstLine="420"/>
      </w:pPr>
      <w:r>
        <w:t>选项C要求内部评估“完全按照”NRA和SRA的具体内容编写。EWRA应根据组织自身情况定制，全球机构还应吸收各分支机构的本地风险要素</w:t>
      </w:r>
      <w:r>
        <w:rPr>
          <w:sz w:val="15"/>
          <w:vertAlign w:val="superscript"/>
        </w:rPr>
        <w:t>P268、P275</w:t>
      </w:r>
      <w:r>
        <w:t>，因此外部评估不能替代内部评估。至于董事会批准，应依机构治理安排和适用规则判断，不影响C在定制原则上的错误。</w:t>
      </w:r>
    </w:p>
    <w:p>
      <w:pPr>
        <w:spacing w:before="120" w:after="40"/>
      </w:pPr>
      <w:r>
        <w:rPr>
          <w:b/>
          <w:sz w:val="21"/>
          <w:shd w:fill="D6E4F0" w:val="clear"/>
        </w:rPr>
        <w:t>D项错误：</w:t>
      </w:r>
    </w:p>
    <w:p>
      <w:pPr>
        <w:spacing w:line="360" w:lineRule="auto" w:after="40"/>
        <w:ind w:firstLine="420"/>
      </w:pPr>
      <w:r>
        <w:t>教材要求EWRA考虑本机构的客户、司法管辖区、产品和交付渠道</w:t>
      </w:r>
      <w:r>
        <w:rPr>
          <w:sz w:val="15"/>
          <w:vertAlign w:val="superscript"/>
        </w:rPr>
        <w:t>P268</w:t>
      </w:r>
      <w:r>
        <w:t>。选项D要求严格采用NRA/SRA中的“确切风险因素”，抹去了机构根据自身业务暴露识别其他风险或调整重点的空间。</w:t>
      </w:r>
    </w:p>
    <w:p>
      <w:pPr>
        <w:spacing w:before="120" w:after="40"/>
      </w:pPr>
      <w:r>
        <w:rPr>
          <w:b/>
          <w:sz w:val="21"/>
          <w:shd w:fill="D6E4F0" w:val="clear"/>
        </w:rPr>
        <w:t>易错提醒：</w:t>
      </w:r>
    </w:p>
    <w:p>
      <w:pPr>
        <w:spacing w:line="360" w:lineRule="auto" w:after="40"/>
        <w:ind w:firstLine="420"/>
      </w:pPr>
      <w:r>
        <w:t>“相互关联”不等于“逐项一致”。NRA、SRA和EWRA应彼此衔接</w:t>
      </w:r>
      <w:r>
        <w:rPr>
          <w:sz w:val="15"/>
          <w:vertAlign w:val="superscript"/>
        </w:rPr>
        <w:t>P268</w:t>
      </w:r>
      <w:r>
        <w:t>，但EWRA仍需结合本机构业务和本地风险定制</w:t>
      </w:r>
      <w:r>
        <w:rPr>
          <w:sz w:val="15"/>
          <w:vertAlign w:val="superscript"/>
        </w:rPr>
        <w:t>P268、P275</w:t>
      </w:r>
      <w:r>
        <w:t>。选项A中的“aligned”应理解为内部评估合理回应了外部评估中的相关风险，而不是风险因素和权重必须完全相同。</w:t>
      </w:r>
    </w:p>
    <w:p>
      <w:pPr>
        <w:spacing w:line="360" w:lineRule="auto" w:after="120"/>
      </w:pPr>
      <w:r/>
    </w:p>
    <w:p>
      <w:pPr>
        <w:spacing w:line="360" w:lineRule="auto" w:after="40"/>
      </w:pPr>
      <w:r>
        <w:t>12. Which of the following best describes AML/CFT risk identification and assessment for accountants? (Select two.)</w:t>
      </w:r>
    </w:p>
    <w:p>
      <w:pPr>
        <w:spacing w:line="360" w:lineRule="auto" w:after="20"/>
        <w:ind w:firstLine="283"/>
      </w:pPr>
      <w:r>
        <w:t>A. Accountants are not required to keep records of business relationships for more than two years.</w:t>
      </w:r>
    </w:p>
    <w:p>
      <w:pPr>
        <w:spacing w:line="360" w:lineRule="auto" w:after="20"/>
        <w:ind w:firstLine="283"/>
      </w:pPr>
      <w:r>
        <w:t>B. Drafting a customer acceptance policy can help accountants define customers outside their risk appetite</w:t>
      </w:r>
    </w:p>
    <w:p>
      <w:pPr>
        <w:spacing w:line="360" w:lineRule="auto" w:after="20"/>
        <w:ind w:firstLine="283"/>
      </w:pPr>
      <w:r>
        <w:t>C. When determining transaction and service risk, the jurisdiction where the accountant provides the service is not important.</w:t>
      </w:r>
    </w:p>
    <w:p>
      <w:pPr>
        <w:spacing w:line="360" w:lineRule="auto" w:after="20"/>
        <w:ind w:firstLine="283"/>
      </w:pPr>
      <w:r>
        <w:t>D. Due to their small size and limited resources, accountants are allowed to organize AML/CFT risk only as customer risk or transaction/service risk.</w:t>
      </w:r>
    </w:p>
    <w:p>
      <w:pPr>
        <w:spacing w:line="360" w:lineRule="auto" w:after="20"/>
        <w:ind w:firstLine="283"/>
      </w:pPr>
      <w:r>
        <w:t>E. Due to the nature of services accountants provide, automated transaction monitoring systems used by financial institutions may not be appropriate.</w:t>
      </w:r>
    </w:p>
    <w:p>
      <w:pPr>
        <w:spacing w:line="360" w:lineRule="auto" w:after="40"/>
      </w:pPr>
      <w:r>
        <w:t>答案：B、E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会计师AML/CFT风险评估维度与监控控制的适配性</w:t>
      </w:r>
    </w:p>
    <w:p>
      <w:pPr>
        <w:spacing w:before="120" w:after="40"/>
      </w:pPr>
      <w:r>
        <w:rPr>
          <w:b/>
          <w:sz w:val="21"/>
          <w:shd w:fill="D6E4F0" w:val="clear"/>
        </w:rPr>
        <w:t>核心解析：</w:t>
      </w:r>
    </w:p>
    <w:p>
      <w:pPr>
        <w:spacing w:line="360" w:lineRule="auto" w:after="40"/>
        <w:ind w:firstLine="420"/>
      </w:pPr>
      <w:r>
        <w:rPr>
          <w:b/>
        </w:rPr>
        <w:t>风险偏好</w:t>
      </w:r>
      <w:r>
        <w:t>决定组织接受的</w:t>
      </w:r>
      <w:r>
        <w:rPr>
          <w:b/>
        </w:rPr>
        <w:t>客户类型、产品类型以及运营的司法管辖区和渠道</w:t>
      </w:r>
      <w:r>
        <w:rPr>
          <w:sz w:val="15"/>
          <w:vertAlign w:val="superscript"/>
        </w:rPr>
        <w:t>P270</w:t>
      </w:r>
      <w:r>
        <w:t>；风险评估还应识别可能超出组织风险偏好的客户、产品和服务</w:t>
      </w:r>
      <w:r>
        <w:rPr>
          <w:sz w:val="15"/>
          <w:vertAlign w:val="superscript"/>
        </w:rPr>
        <w:t>P281</w:t>
      </w:r>
      <w:r>
        <w:t>。因此，起草</w:t>
      </w:r>
      <w:r>
        <w:rPr>
          <w:b/>
        </w:rPr>
        <w:t>客户接受政策</w:t>
      </w:r>
      <w:r>
        <w:t>可以把风险偏好转化为客户准入边界，帮助会计师明确哪些客户超出其风险承受能力，B项直接符合教材框架。</w:t>
      </w:r>
    </w:p>
    <w:p>
      <w:pPr>
        <w:spacing w:line="360" w:lineRule="auto" w:after="40"/>
        <w:ind w:firstLine="420"/>
      </w:pPr>
      <w:r>
        <w:t>交易监控系统被教材定义为帮助金融机构检测</w:t>
      </w:r>
      <w:r>
        <w:rPr>
          <w:b/>
        </w:rPr>
        <w:t>可疑交易模式</w:t>
      </w:r>
      <w:r>
        <w:t>的技术框架</w:t>
      </w:r>
      <w:r>
        <w:rPr>
          <w:sz w:val="15"/>
          <w:vertAlign w:val="superscript"/>
        </w:rPr>
        <w:t>P325</w:t>
      </w:r>
      <w:r>
        <w:t>，但监控方式应随业务类型和风险特征调整：不同业务的交易量和模式不同，所需自动化程度也不同</w:t>
      </w:r>
      <w:r>
        <w:rPr>
          <w:sz w:val="15"/>
          <w:vertAlign w:val="superscript"/>
        </w:rPr>
        <w:t>P254</w:t>
      </w:r>
      <w:r>
        <w:t>，</w:t>
      </w:r>
      <w:r>
        <w:rPr>
          <w:b/>
        </w:rPr>
        <w:t>产品风险评估</w:t>
      </w:r>
      <w:r>
        <w:t>还应参与交易监控等控制措施的设计，以确保对产品充分覆盖</w:t>
      </w:r>
      <w:r>
        <w:rPr>
          <w:sz w:val="15"/>
          <w:vertAlign w:val="superscript"/>
        </w:rPr>
        <w:t>P286</w:t>
      </w:r>
      <w:r>
        <w:t>。会计师提供多种专业服务，且不同服务对应不同洗钱风险</w:t>
      </w:r>
      <w:r>
        <w:rPr>
          <w:sz w:val="15"/>
          <w:vertAlign w:val="superscript"/>
        </w:rPr>
        <w:t>P123</w:t>
      </w:r>
      <w:r>
        <w:t>。因此，金融机构使用的自动化交易监控系统对会计师业务可能并不适用；E项中的“可能”体现了</w:t>
      </w:r>
      <w:r>
        <w:rPr>
          <w:b/>
        </w:rPr>
        <w:t>风险为本和控制适配原则</w:t>
      </w:r>
      <w:r>
        <w:t>。</w:t>
      </w:r>
    </w:p>
    <w:p>
      <w:pPr>
        <w:spacing w:before="120" w:after="40"/>
      </w:pPr>
      <w:r>
        <w:rPr>
          <w:b/>
          <w:sz w:val="21"/>
          <w:shd w:fill="D6E4F0" w:val="clear"/>
        </w:rPr>
        <w:t>教材原句：</w:t>
      </w:r>
    </w:p>
    <w:p>
      <w:pPr>
        <w:spacing w:line="360" w:lineRule="auto" w:after="40"/>
        <w:ind w:firstLine="420"/>
      </w:pPr>
      <w:r>
        <w:t>"Every organization has its own risk appetite, which determines the type of customers it will accept, the product types it will offer, and the jurisdictions and channels in which it will operate."</w:t>
      </w:r>
      <w:r>
        <w:rPr>
          <w:sz w:val="15"/>
          <w:vertAlign w:val="superscript"/>
        </w:rPr>
        <w:t>P270</w:t>
      </w:r>
    </w:p>
    <w:p>
      <w:pPr>
        <w:spacing w:before="120" w:after="40"/>
      </w:pPr>
      <w:r>
        <w:rPr>
          <w:b/>
          <w:sz w:val="21"/>
          <w:shd w:fill="D6E4F0" w:val="clear"/>
        </w:rPr>
        <w:t>A项错误：</w:t>
      </w:r>
    </w:p>
    <w:p>
      <w:pPr>
        <w:spacing w:line="360" w:lineRule="auto" w:after="40"/>
        <w:ind w:firstLine="420"/>
      </w:pPr>
      <w:r>
        <w:t>记录保存和记录保留属于预防性控制，文件应按照组织的记录保留政策保存，妥善的记录保存还应确保能够向监管和执法部门提供信息</w:t>
      </w:r>
      <w:r>
        <w:rPr>
          <w:sz w:val="15"/>
          <w:vertAlign w:val="superscript"/>
        </w:rPr>
        <w:t>P277、P345、P359</w:t>
      </w:r>
      <w:r>
        <w:t>。因此，保存期限应依适用规则和机构政策确定，不能统一限定为“无需超过两年”。</w:t>
      </w:r>
    </w:p>
    <w:p>
      <w:pPr>
        <w:spacing w:before="120" w:after="40"/>
      </w:pPr>
      <w:r>
        <w:rPr>
          <w:b/>
          <w:sz w:val="21"/>
          <w:shd w:fill="D6E4F0" w:val="clear"/>
        </w:rPr>
        <w:t>C项错误：</w:t>
      </w:r>
    </w:p>
    <w:p>
      <w:pPr>
        <w:spacing w:line="360" w:lineRule="auto" w:after="40"/>
        <w:ind w:firstLine="420"/>
      </w:pPr>
      <w:r>
        <w:t>教材明确指出，地域风险评估可以考虑政治稳定性、监管环境和制裁状况，司法管辖区本身就是风险维度之一</w:t>
      </w:r>
      <w:r>
        <w:rPr>
          <w:sz w:val="15"/>
          <w:vertAlign w:val="superscript"/>
        </w:rPr>
        <w:t>P275</w:t>
      </w:r>
      <w:r>
        <w:t>。C项称其“不重要”，与教材风险评估框架直接相反。</w:t>
      </w:r>
    </w:p>
    <w:p>
      <w:pPr>
        <w:spacing w:before="120" w:after="40"/>
      </w:pPr>
      <w:r>
        <w:rPr>
          <w:b/>
          <w:sz w:val="21"/>
          <w:shd w:fill="D6E4F0" w:val="clear"/>
        </w:rPr>
        <w:t>D项错误：</w:t>
      </w:r>
    </w:p>
    <w:p>
      <w:pPr>
        <w:spacing w:line="360" w:lineRule="auto" w:after="40"/>
        <w:ind w:firstLine="420"/>
      </w:pPr>
      <w:r>
        <w:t>教材要求收集客户、司法管辖区、产品和渠道等信息</w:t>
      </w:r>
      <w:r>
        <w:rPr>
          <w:sz w:val="15"/>
          <w:vertAlign w:val="superscript"/>
        </w:rPr>
        <w:t>P275</w:t>
      </w:r>
      <w:r>
        <w:t>，风险评估并非只能组织为客户风险或交易/服务风险。D项以会计师规模和资源为由缩窄风险类别，超出了教材允许的风险为本框架。</w:t>
      </w:r>
    </w:p>
    <w:p>
      <w:pPr>
        <w:spacing w:before="120" w:after="40"/>
      </w:pPr>
      <w:r>
        <w:rPr>
          <w:b/>
          <w:sz w:val="21"/>
          <w:shd w:fill="D6E4F0" w:val="clear"/>
        </w:rPr>
        <w:t>易错提醒：</w:t>
      </w:r>
    </w:p>
    <w:p>
      <w:pPr>
        <w:spacing w:line="360" w:lineRule="auto" w:after="40"/>
        <w:ind w:firstLine="420"/>
      </w:pPr>
      <w:r>
        <w:t>不要把没有具体“两年”期限的A项误判为正确，也不要把金融机构的自动化交易监控系统直接套用于所有行业。风险评估和监控控制都应结合客户、服务、产品、交易模式和司法管辖区等因素进行适配</w:t>
      </w:r>
      <w:r>
        <w:rPr>
          <w:sz w:val="15"/>
          <w:vertAlign w:val="superscript"/>
        </w:rPr>
        <w:t>P254、P275、P286、P325</w:t>
      </w:r>
      <w:r>
        <w:t>。</w:t>
      </w:r>
    </w:p>
    <w:p>
      <w:pPr>
        <w:spacing w:line="360" w:lineRule="auto" w:after="120"/>
      </w:pPr>
      <w:r/>
    </w:p>
    <w:p>
      <w:pPr>
        <w:spacing w:line="360" w:lineRule="auto" w:after="40"/>
      </w:pPr>
      <w:r>
        <w:t>13. Which of the following are AML risks associated with onboarding a high-risk customer? (Select Two.)</w:t>
      </w:r>
    </w:p>
    <w:p>
      <w:pPr>
        <w:spacing w:line="360" w:lineRule="auto" w:after="20"/>
        <w:ind w:firstLine="283"/>
      </w:pPr>
      <w:r>
        <w:t>A. Enhanced customer due diligence requirements.</w:t>
      </w:r>
    </w:p>
    <w:p>
      <w:pPr>
        <w:spacing w:line="360" w:lineRule="auto" w:after="20"/>
        <w:ind w:firstLine="283"/>
      </w:pPr>
      <w:r>
        <w:t>B. Greater potential for laundering illicit proceeds.</w:t>
      </w:r>
    </w:p>
    <w:p>
      <w:pPr>
        <w:spacing w:line="360" w:lineRule="auto" w:after="20"/>
        <w:ind w:firstLine="283"/>
      </w:pPr>
      <w:r>
        <w:t>C. Reduced regulatory scrutiny compared to low-risk customers.</w:t>
      </w:r>
    </w:p>
    <w:p>
      <w:pPr>
        <w:spacing w:line="360" w:lineRule="auto" w:after="20"/>
        <w:ind w:firstLine="283"/>
      </w:pPr>
      <w:r>
        <w:t>D. Increased likelihood of engaging in financial crimes.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区分“风险本身”与“风险控制措施”</w:t>
      </w:r>
    </w:p>
    <w:p>
      <w:pPr>
        <w:spacing w:before="120" w:after="40"/>
      </w:pPr>
      <w:r>
        <w:rPr>
          <w:b/>
          <w:sz w:val="21"/>
          <w:shd w:fill="D6E4F0" w:val="clear"/>
        </w:rPr>
        <w:t>核心解析：</w:t>
      </w:r>
    </w:p>
    <w:p>
      <w:pPr>
        <w:spacing w:line="360" w:lineRule="auto" w:after="40"/>
        <w:ind w:firstLine="420"/>
      </w:pPr>
      <w:r>
        <w:t>题干要求区分高风险客户带来的风险与机构为控制风险采取的措施。风险为本方法按照客户的潜在金融犯罪风险进行分类；风险较高的客户可能接受强化尽职调查和加强监控</w:t>
      </w:r>
      <w:r>
        <w:rPr>
          <w:sz w:val="15"/>
          <w:vertAlign w:val="superscript"/>
        </w:rPr>
        <w:t>P270</w:t>
      </w:r>
      <w:r>
        <w:t>。这说明“高风险”表示</w:t>
      </w:r>
      <w:r>
        <w:rPr>
          <w:b/>
        </w:rPr>
        <w:t>洗钱非法所得或涉及金融犯罪的风险暴露和可能性较高</w:t>
      </w:r>
      <w:r>
        <w:t>，并不等于已经证明客户持有非法资金或实施犯罪。B的“洗钱非法所得的更大潜力”和D的“更有可能从事金融犯罪活动”描述的正是这种较高的潜在风险。教材还举例说明，政治敏感人物可能更易受腐败影响，中介机构可能代客户促成非法交易，进一步说明高风险分类关注犯罪利用的可能性</w:t>
      </w:r>
      <w:r>
        <w:rPr>
          <w:sz w:val="15"/>
          <w:vertAlign w:val="superscript"/>
        </w:rPr>
        <w:t>P104</w:t>
      </w:r>
      <w:r>
        <w:t>。故应选择B、D。</w:t>
      </w:r>
    </w:p>
    <w:p>
      <w:pPr>
        <w:spacing w:before="120" w:after="40"/>
      </w:pPr>
      <w:r>
        <w:rPr>
          <w:b/>
          <w:sz w:val="21"/>
          <w:shd w:fill="D6E4F0" w:val="clear"/>
        </w:rPr>
        <w:t>教材原句：</w:t>
      </w:r>
    </w:p>
    <w:p>
      <w:pPr>
        <w:spacing w:line="360" w:lineRule="auto" w:after="40"/>
        <w:ind w:firstLine="420"/>
      </w:pPr>
      <w:r>
        <w:t>"A customer representing higher risk may be subject to enhanced due diligence and heightened monitoring, thereby allowing the organization to allocate resources effectively by classifying customers based on their potential financial crime risk."</w:t>
      </w:r>
      <w:r>
        <w:rPr>
          <w:sz w:val="15"/>
          <w:vertAlign w:val="superscript"/>
        </w:rPr>
        <w:t>P270</w:t>
      </w:r>
    </w:p>
    <w:p>
      <w:pPr>
        <w:spacing w:before="120" w:after="40"/>
      </w:pPr>
      <w:r>
        <w:rPr>
          <w:b/>
          <w:sz w:val="21"/>
          <w:shd w:fill="D6E4F0" w:val="clear"/>
        </w:rPr>
        <w:t>A项错误：</w:t>
      </w:r>
    </w:p>
    <w:p>
      <w:pPr>
        <w:spacing w:line="360" w:lineRule="auto" w:after="40"/>
        <w:ind w:firstLine="420"/>
      </w:pPr>
      <w:r>
        <w:t>强化尽职调查是机构识别出较高风险后采取的控制措施。教材指出，高风险客户通常会接受更深入的EDD审查</w:t>
      </w:r>
      <w:r>
        <w:rPr>
          <w:sz w:val="15"/>
          <w:vertAlign w:val="superscript"/>
        </w:rPr>
        <w:t>P306、P270</w:t>
      </w:r>
      <w:r>
        <w:t>，因此A描述的是风险的处理方式，而不是接纳该客户产生的洗钱风险本身。</w:t>
      </w:r>
    </w:p>
    <w:p>
      <w:pPr>
        <w:spacing w:before="120" w:after="40"/>
      </w:pPr>
      <w:r>
        <w:rPr>
          <w:b/>
          <w:sz w:val="21"/>
          <w:shd w:fill="D6E4F0" w:val="clear"/>
        </w:rPr>
        <w:t>C项错误：</w:t>
      </w:r>
    </w:p>
    <w:p>
      <w:pPr>
        <w:spacing w:line="360" w:lineRule="auto" w:after="40"/>
        <w:ind w:firstLine="420"/>
      </w:pPr>
      <w:r>
        <w:t>高风险客户可能接受EDD和加强监控</w:t>
      </w:r>
      <w:r>
        <w:rPr>
          <w:sz w:val="15"/>
          <w:vertAlign w:val="superscript"/>
        </w:rPr>
        <w:t>P270</w:t>
      </w:r>
      <w:r>
        <w:t>，审查强度通常高于而不是低于低风险客户。C把风险为本方法的资源配置方向写反。</w:t>
      </w:r>
    </w:p>
    <w:p>
      <w:pPr>
        <w:spacing w:before="120" w:after="40"/>
      </w:pPr>
      <w:r>
        <w:rPr>
          <w:b/>
          <w:sz w:val="21"/>
          <w:shd w:fill="D6E4F0" w:val="clear"/>
        </w:rPr>
        <w:t>易错提醒：</w:t>
      </w:r>
    </w:p>
    <w:p>
      <w:pPr>
        <w:spacing w:line="360" w:lineRule="auto" w:after="40"/>
        <w:ind w:firstLine="420"/>
      </w:pPr>
      <w:r>
        <w:t>高风险标签表示风险概率或暴露程度较高，不是犯罪事实认定。B、D使用“潜力”“可能性”描述风险；A的EDD和加强监控则是识别风险后的控制措施</w:t>
      </w:r>
      <w:r>
        <w:rPr>
          <w:sz w:val="15"/>
          <w:vertAlign w:val="superscript"/>
        </w:rPr>
        <w:t>P270、P306</w:t>
      </w:r>
      <w:r>
        <w:t>。</w:t>
      </w:r>
    </w:p>
    <w:p>
      <w:pPr>
        <w:spacing w:line="360" w:lineRule="auto" w:after="120"/>
      </w:pPr>
      <w:r/>
    </w:p>
    <w:p>
      <w:pPr>
        <w:spacing w:line="360" w:lineRule="auto" w:after="40"/>
      </w:pPr>
      <w:r>
        <w:t>14. A national risk assessment (NRA) can inform the risk-based approach (RBA) in an organization's anti-financial crime (AFC) compliance program by: (Choose Two.)</w:t>
      </w:r>
    </w:p>
    <w:p>
      <w:pPr>
        <w:spacing w:line="360" w:lineRule="auto" w:after="20"/>
        <w:ind w:firstLine="283"/>
      </w:pPr>
      <w:r>
        <w:t>A. Helping to identify high-risk sectors that require enhanced due diligence (EDD).</w:t>
      </w:r>
    </w:p>
    <w:p>
      <w:pPr>
        <w:spacing w:line="360" w:lineRule="auto" w:after="20"/>
        <w:ind w:firstLine="283"/>
      </w:pPr>
      <w:r>
        <w:t>B. Eliminating the need for sectoral risk assessments within the organization.</w:t>
      </w:r>
    </w:p>
    <w:p>
      <w:pPr>
        <w:spacing w:line="360" w:lineRule="auto" w:after="20"/>
        <w:ind w:firstLine="283"/>
      </w:pPr>
      <w:r>
        <w:t>C. Guiding the allocation of resources for mitigating financial crime risks.</w:t>
      </w:r>
    </w:p>
    <w:p>
      <w:pPr>
        <w:spacing w:line="360" w:lineRule="auto" w:after="20"/>
        <w:ind w:firstLine="283"/>
      </w:pPr>
      <w:r>
        <w:t>D. Requiring all organizations to apply standardized measures.</w:t>
      </w:r>
    </w:p>
    <w:p>
      <w:pPr>
        <w:spacing w:line="360" w:lineRule="auto" w:after="20"/>
        <w:ind w:firstLine="283"/>
      </w:pPr>
      <w:r>
        <w:t>E. Automatically reducing the organization's responsibility for conducting its own risk assessment.</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国家风险评估（NRA）对组织RBA的两种赋能方式</w:t>
      </w:r>
    </w:p>
    <w:p>
      <w:pPr>
        <w:spacing w:before="120" w:after="40"/>
      </w:pPr>
      <w:r>
        <w:rPr>
          <w:b/>
          <w:sz w:val="21"/>
          <w:shd w:fill="D6E4F0" w:val="clear"/>
        </w:rPr>
        <w:t>核心解析：</w:t>
      </w:r>
    </w:p>
    <w:p>
      <w:pPr>
        <w:spacing w:line="360" w:lineRule="auto" w:after="40"/>
        <w:ind w:firstLine="420"/>
      </w:pPr>
      <w:r>
        <w:t>国家风险评估（NRA）的核心功能有二：一是</w:t>
      </w:r>
      <w:r>
        <w:rPr>
          <w:b/>
        </w:rPr>
        <w:t>识别国家层面的洗钱/恐怖融资威胁，审查高风险行业和领域</w:t>
      </w:r>
      <w:r>
        <w:rPr>
          <w:sz w:val="15"/>
          <w:vertAlign w:val="superscript"/>
        </w:rPr>
        <w:t>P268</w:t>
      </w:r>
      <w:r>
        <w:t>；二是其风险识别结果为机构分配资源提供依据</w:t>
      </w:r>
      <w:r>
        <w:rPr>
          <w:sz w:val="15"/>
          <w:vertAlign w:val="superscript"/>
        </w:rPr>
        <w:t>P184</w:t>
      </w:r>
      <w:r>
        <w:t>。题干问NRA如何“inform”（为……提供信息/指导）组织的风险为本方法（RBA）。选项A对应第一项功能——NRA识别出高风险行业后，金融机构便可据此确定哪些行业需加强尽职调查。选项C对应</w:t>
      </w:r>
      <w:r>
        <w:rPr>
          <w:b/>
        </w:rPr>
        <w:t>资源分配逻辑</w:t>
      </w:r>
      <w:r>
        <w:t>——FinCEN等国家层面的风险评估目的之一就是协助资源分配，且风险评估帮助机构制定控制策略以缓解已识别风险</w:t>
      </w:r>
      <w:r>
        <w:rPr>
          <w:sz w:val="15"/>
          <w:vertAlign w:val="superscript"/>
        </w:rPr>
        <w:t>P277</w:t>
      </w:r>
      <w:r>
        <w:t>，NRA作为外部风险信息来源，指导组织将有限资源投向高风险领域。两者都体现NRA作为</w:t>
      </w:r>
      <w:r>
        <w:rPr>
          <w:b/>
        </w:rPr>
        <w:t>“外部输入→内部应用”</w:t>
      </w:r>
      <w:r>
        <w:t>的传导机制。</w:t>
      </w:r>
    </w:p>
    <w:p>
      <w:pPr>
        <w:spacing w:before="120" w:after="40"/>
      </w:pPr>
      <w:r>
        <w:rPr>
          <w:b/>
          <w:sz w:val="21"/>
          <w:shd w:fill="D6E4F0" w:val="clear"/>
        </w:rPr>
        <w:t>教材原句：</w:t>
      </w:r>
    </w:p>
    <w:p>
      <w:pPr>
        <w:spacing w:line="360" w:lineRule="auto" w:after="40"/>
        <w:ind w:firstLine="420"/>
      </w:pPr>
      <w:r>
        <w:t>"NRAs identify national-level money laundering and terror financing threats and risks. These assessments review sectors and areas with higher risks."</w:t>
      </w:r>
      <w:r>
        <w:rPr>
          <w:sz w:val="15"/>
          <w:vertAlign w:val="superscript"/>
        </w:rPr>
        <w:t>P268</w:t>
      </w:r>
    </w:p>
    <w:p>
      <w:pPr>
        <w:spacing w:before="120" w:after="40"/>
      </w:pPr>
      <w:r>
        <w:rPr>
          <w:b/>
          <w:sz w:val="21"/>
          <w:shd w:fill="D6E4F0" w:val="clear"/>
        </w:rPr>
        <w:t>B项错误：</w:t>
      </w:r>
    </w:p>
    <w:p>
      <w:pPr>
        <w:spacing w:line="360" w:lineRule="auto" w:after="40"/>
        <w:ind w:firstLine="420"/>
      </w:pPr>
      <w:r>
        <w:t>NRA提供国家层面的宏观风险信息，组织仍需通过自身的企业全面风险评估识别内部风险</w:t>
      </w:r>
      <w:r>
        <w:rPr>
          <w:sz w:val="15"/>
          <w:vertAlign w:val="superscript"/>
        </w:rPr>
        <w:t>P277</w:t>
      </w:r>
      <w:r>
        <w:t>。两类评估相互衔接，不能彼此替代。</w:t>
      </w:r>
    </w:p>
    <w:p>
      <w:pPr>
        <w:spacing w:before="120" w:after="40"/>
      </w:pPr>
      <w:r>
        <w:rPr>
          <w:b/>
          <w:sz w:val="21"/>
          <w:shd w:fill="D6E4F0" w:val="clear"/>
        </w:rPr>
        <w:t>D项错误：</w:t>
      </w:r>
    </w:p>
    <w:p>
      <w:pPr>
        <w:spacing w:line="360" w:lineRule="auto" w:after="40"/>
        <w:ind w:firstLine="420"/>
      </w:pPr>
      <w:r>
        <w:t>RBA要求控制措施与识别出的风险成比例，各机构还需结合自身客户、地域和产品特征进行调整；“所有组织采用标准化措施”与这一原则相反。</w:t>
      </w:r>
    </w:p>
    <w:p>
      <w:pPr>
        <w:spacing w:before="120" w:after="40"/>
      </w:pPr>
      <w:r>
        <w:rPr>
          <w:b/>
          <w:sz w:val="21"/>
          <w:shd w:fill="D6E4F0" w:val="clear"/>
        </w:rPr>
        <w:t>E项错误：</w:t>
      </w:r>
    </w:p>
    <w:p>
      <w:pPr>
        <w:spacing w:line="360" w:lineRule="auto" w:after="40"/>
        <w:ind w:firstLine="420"/>
      </w:pPr>
      <w:r>
        <w:t>教材指出，机构需定期进行独立评估以确保内部风险控制有效，NRA是外部输入，不能“自动减轻”组织自身的评估责任。两者的主语和职责边界不同——NRA由国家机关完成宏观识别，组织内部评估由机构自身或其委托方完成，前者不能替代后者。</w:t>
      </w:r>
    </w:p>
    <w:p>
      <w:pPr>
        <w:spacing w:before="120" w:after="40"/>
      </w:pPr>
      <w:r>
        <w:rPr>
          <w:b/>
          <w:sz w:val="21"/>
          <w:shd w:fill="D6E4F0" w:val="clear"/>
        </w:rPr>
        <w:t>易错提醒：</w:t>
      </w:r>
    </w:p>
    <w:p>
      <w:pPr>
        <w:spacing w:line="360" w:lineRule="auto" w:after="40"/>
        <w:ind w:firstLine="420"/>
      </w:pPr>
      <w:r>
        <w:t>NRA（国家风险评估）由国家机关执行，识别国家层面的风险</w:t>
      </w:r>
      <w:r>
        <w:rPr>
          <w:sz w:val="15"/>
          <w:vertAlign w:val="superscript"/>
        </w:rPr>
        <w:t>P268</w:t>
      </w:r>
      <w:r>
        <w:t>；SRA（行业风险评估）由监管机构等执行，聚焦特定行业风险；EWRA（企业全面风险评估）由组织自行执行，结合NRA和SRA的洞察管理内部风险</w:t>
      </w:r>
      <w:r>
        <w:rPr>
          <w:sz w:val="15"/>
          <w:vertAlign w:val="superscript"/>
        </w:rPr>
        <w:t>P277</w:t>
      </w:r>
      <w:r>
        <w:t>。三者层次不同，不能相互替代或消除。</w:t>
      </w:r>
    </w:p>
    <w:p>
      <w:pPr>
        <w:spacing w:line="360" w:lineRule="auto" w:after="120"/>
      </w:pPr>
      <w:r/>
    </w:p>
    <w:p>
      <w:pPr>
        <w:spacing w:line="360" w:lineRule="auto" w:after="40"/>
      </w:pPr>
      <w:r>
        <w:t>15. Which of the following are part of a risk-based approach? (Select Three.)</w:t>
      </w:r>
    </w:p>
    <w:p>
      <w:pPr>
        <w:spacing w:line="360" w:lineRule="auto" w:after="20"/>
        <w:ind w:firstLine="283"/>
      </w:pPr>
      <w:r>
        <w:t>A. Determining detailed risk profiles for customers based on their activities and relationships.</w:t>
      </w:r>
    </w:p>
    <w:p>
      <w:pPr>
        <w:spacing w:line="360" w:lineRule="auto" w:after="20"/>
        <w:ind w:firstLine="283"/>
      </w:pPr>
      <w:r>
        <w:t>B. Focusing monitoring primarily on previously flagged customers while using standard controls for others.</w:t>
      </w:r>
    </w:p>
    <w:p>
      <w:pPr>
        <w:spacing w:line="360" w:lineRule="auto" w:after="20"/>
        <w:ind w:firstLine="283"/>
      </w:pPr>
      <w:r>
        <w:t>C. Choosing and applying effective controls that align with the identified risk levels.</w:t>
      </w:r>
    </w:p>
    <w:p>
      <w:pPr>
        <w:spacing w:line="360" w:lineRule="auto" w:after="20"/>
        <w:ind w:firstLine="283"/>
      </w:pPr>
      <w:r>
        <w:t>D. Performing a comprehensive risk assessment to identify customer, transaction, and geographic risks.</w:t>
      </w:r>
    </w:p>
    <w:p>
      <w:pPr>
        <w:spacing w:line="360" w:lineRule="auto" w:after="20"/>
        <w:ind w:firstLine="283"/>
      </w:pPr>
      <w:r>
        <w:t>E. Allocating resources evenly among all customer segments to ensure fairness.</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基于风险的方法核心原则：识别风险并按风险等级差异化分配资源与管控</w:t>
      </w:r>
    </w:p>
    <w:p>
      <w:pPr>
        <w:spacing w:before="120" w:after="40"/>
      </w:pPr>
      <w:r>
        <w:rPr>
          <w:b/>
          <w:sz w:val="21"/>
          <w:shd w:fill="D6E4F0" w:val="clear"/>
        </w:rPr>
        <w:t>核心解析：</w:t>
      </w:r>
    </w:p>
    <w:p>
      <w:pPr>
        <w:spacing w:line="360" w:lineRule="auto" w:after="40"/>
        <w:ind w:firstLine="420"/>
      </w:pPr>
      <w:r>
        <w:t>风险为本方法（RBA）指</w:t>
      </w:r>
      <w:r>
        <w:rPr>
          <w:b/>
        </w:rPr>
        <w:t>识别、评估和理解洗钱/恐怖融资风险</w:t>
      </w:r>
      <w:r>
        <w:t>，并采取适当的缓解措施</w:t>
      </w:r>
      <w:r>
        <w:rPr>
          <w:sz w:val="15"/>
          <w:vertAlign w:val="superscript"/>
        </w:rPr>
        <w:t>P270</w:t>
      </w:r>
      <w:r>
        <w:t>。其核心是“优先处理高概率和严重影响的风险”，确保“应对措施与识别出的风险成比例”，而非</w:t>
      </w:r>
      <w:r>
        <w:rPr>
          <w:b/>
        </w:rPr>
        <w:t>平均分配资源</w:t>
      </w:r>
      <w:r>
        <w:rPr>
          <w:sz w:val="15"/>
          <w:vertAlign w:val="superscript"/>
        </w:rPr>
        <w:t>P381、P147</w:t>
      </w:r>
      <w:r>
        <w:t>。选项A对应RBA的“识别与评估”环节——通过全面风险评估识别客户、交易和地域风险，这是RBA的起点。选项C对应“采取适当缓解措施”——选择并应用与风险等级相匹配的控制措施，体现“成比例”原则。选项D对应“理解风险”——根据客户活动和关系确定风险概况，将客户按风险分类，以便后续差异化管控。三者共同构成RBA的完整闭环：识别风险→评估定级→匹配控制。</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r>
        <w:rPr>
          <w:sz w:val="15"/>
          <w:vertAlign w:val="superscript"/>
        </w:rPr>
        <w:t>P270</w:t>
      </w:r>
    </w:p>
    <w:p>
      <w:pPr>
        <w:spacing w:before="120" w:after="40"/>
      </w:pPr>
      <w:r>
        <w:rPr>
          <w:b/>
          <w:sz w:val="21"/>
          <w:shd w:fill="D6E4F0" w:val="clear"/>
        </w:rPr>
        <w:t>B项错误：</w:t>
      </w:r>
    </w:p>
    <w:p>
      <w:pPr>
        <w:spacing w:line="360" w:lineRule="auto" w:after="40"/>
        <w:ind w:firstLine="420"/>
      </w:pPr>
      <w:r>
        <w:t>“之前已标记”不等于“当前高风险”。RBA要求根据当前风险水平动态调整，并优先向高风险客户、司法管辖区和服务投入资源，而不是只关注历史标记。</w:t>
      </w:r>
    </w:p>
    <w:p>
      <w:pPr>
        <w:spacing w:before="120" w:after="40"/>
      </w:pPr>
      <w:r>
        <w:rPr>
          <w:b/>
          <w:sz w:val="21"/>
          <w:shd w:fill="D6E4F0" w:val="clear"/>
        </w:rPr>
        <w:t>E项错误：</w:t>
      </w:r>
    </w:p>
    <w:p>
      <w:pPr>
        <w:spacing w:line="360" w:lineRule="auto" w:after="40"/>
        <w:ind w:firstLine="420"/>
      </w:pPr>
      <w:r>
        <w:t>RBA要求识别最高风险并优先配置资源</w:t>
      </w:r>
      <w:r>
        <w:rPr>
          <w:sz w:val="15"/>
          <w:vertAlign w:val="superscript"/>
        </w:rPr>
        <w:t>P381</w:t>
      </w:r>
      <w:r>
        <w:t>，而不是在所有客户群体间平均分配。E描述的是一刀切做法，与风险相称原则相反。</w:t>
      </w:r>
    </w:p>
    <w:p>
      <w:pPr>
        <w:spacing w:before="120" w:after="40"/>
      </w:pPr>
      <w:r>
        <w:rPr>
          <w:b/>
          <w:sz w:val="21"/>
          <w:shd w:fill="D6E4F0" w:val="clear"/>
        </w:rPr>
        <w:t>易错提醒：</w:t>
      </w:r>
    </w:p>
    <w:p>
      <w:pPr>
        <w:spacing w:line="360" w:lineRule="auto" w:after="40"/>
        <w:ind w:firstLine="420"/>
      </w:pPr>
      <w:r>
        <w:t>RBA的核心是“差异化”，而非“平均主义”或“一刀切”</w:t>
      </w:r>
      <w:r>
        <w:rPr>
          <w:sz w:val="15"/>
          <w:vertAlign w:val="superscript"/>
        </w:rPr>
        <w:t>P147、P270</w:t>
      </w:r>
      <w:r>
        <w:t>。判断一个做法是否属于RBA，关键看它是否根据风险水平来决定资源投入的多少——风险高的多投入，风险低的少投入</w:t>
      </w:r>
      <w:r>
        <w:rPr>
          <w:sz w:val="15"/>
          <w:vertAlign w:val="superscript"/>
        </w:rPr>
        <w:t>P381</w:t>
      </w:r>
      <w:r>
        <w:t>。选项B把“曾被标记”当作唯一优先级，选项E追求“公平平分”，两者都偏离了“按风险等级成比例”这条主线。</w:t>
      </w:r>
    </w:p>
    <w:p>
      <w:pPr>
        <w:spacing w:line="360" w:lineRule="auto" w:after="120"/>
      </w:pPr>
      <w:r/>
    </w:p>
    <w:p>
      <w:pPr>
        <w:spacing w:line="360" w:lineRule="auto" w:after="40"/>
      </w:pPr>
      <w:r>
        <w:t>16. Which of the following are part of a risk-based approach? (Select Three.)</w:t>
      </w:r>
    </w:p>
    <w:p>
      <w:pPr>
        <w:spacing w:line="360" w:lineRule="auto" w:after="20"/>
        <w:ind w:firstLine="283"/>
      </w:pPr>
      <w:r>
        <w:t>A. Determining detailed risk profiles for customers based on their activities and relationships.</w:t>
      </w:r>
    </w:p>
    <w:p>
      <w:pPr>
        <w:spacing w:line="360" w:lineRule="auto" w:after="20"/>
        <w:ind w:firstLine="283"/>
      </w:pPr>
      <w:r>
        <w:t>B. Focusing monitoring primarily on previously flagged customers while using standard controls for others.</w:t>
      </w:r>
    </w:p>
    <w:p>
      <w:pPr>
        <w:spacing w:line="360" w:lineRule="auto" w:after="20"/>
        <w:ind w:firstLine="283"/>
      </w:pPr>
      <w:r>
        <w:t>C. Choosing and applying effective controls that align with the identified risk levels.</w:t>
      </w:r>
    </w:p>
    <w:p>
      <w:pPr>
        <w:spacing w:line="360" w:lineRule="auto" w:after="20"/>
        <w:ind w:firstLine="283"/>
      </w:pPr>
      <w:r>
        <w:t>D. Performing a comprehensive risk assessment to identify customer, transaction, and geographic risks.</w:t>
      </w:r>
    </w:p>
    <w:p>
      <w:pPr>
        <w:spacing w:line="360" w:lineRule="auto" w:after="20"/>
        <w:ind w:firstLine="283"/>
      </w:pPr>
      <w:r>
        <w:t>E. Allocating resources evenly among all customer segments to ensure fairness.</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风险为本方法的核心是识别、评估风险并采取相称的缓解措施</w:t>
      </w:r>
    </w:p>
    <w:p>
      <w:pPr>
        <w:spacing w:before="120" w:after="40"/>
      </w:pPr>
      <w:r>
        <w:rPr>
          <w:b/>
          <w:sz w:val="21"/>
          <w:shd w:fill="D6E4F0" w:val="clear"/>
        </w:rPr>
        <w:t>核心解析：</w:t>
      </w:r>
    </w:p>
    <w:p>
      <w:pPr>
        <w:spacing w:line="360" w:lineRule="auto" w:after="40"/>
        <w:ind w:firstLine="420"/>
      </w:pPr>
      <w:r>
        <w:t>风险为本方法（RBA）是指识别、评估和理解组织面临的洗钱/恐怖融资风险，并采取适当措施有效缓解这些风险</w:t>
      </w:r>
      <w:r>
        <w:rPr>
          <w:sz w:val="15"/>
          <w:vertAlign w:val="superscript"/>
        </w:rPr>
        <w:t>P270</w:t>
      </w:r>
      <w:r>
        <w:t>。其核心逻辑是“先评估风险，再按风险等级分配资源和控制”。选项A“根据客户的活动和关系确定</w:t>
      </w:r>
      <w:r>
        <w:rPr>
          <w:b/>
        </w:rPr>
        <w:t>详细风险特征</w:t>
      </w:r>
      <w:r>
        <w:t>”对应风险评估中的客户风险画像</w:t>
      </w:r>
      <w:r>
        <w:rPr>
          <w:sz w:val="15"/>
          <w:vertAlign w:val="superscript"/>
        </w:rPr>
        <w:t>P301</w:t>
      </w:r>
      <w:r>
        <w:t>，属于识别和评估环节；选项D“进行全面的风险评估以识别客户、交易和地域风险”直接对应RBA定义中的识别和评估风险；选项C“选择并应用与所识别风险等级相适应的有效控制措施”对应RBA中“采取与风险成比例的措施”这一关键原则</w:t>
      </w:r>
      <w:r>
        <w:rPr>
          <w:sz w:val="15"/>
          <w:vertAlign w:val="superscript"/>
        </w:rPr>
        <w:t>P254</w:t>
      </w:r>
      <w:r>
        <w:t>，以及“应用控制措施将固有风险降至可接受的剩余风险水平”。三项共同构成RBA的完整动作链：评估风险 → 按风险等级匹配控制措施。</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r>
        <w:rPr>
          <w:sz w:val="15"/>
          <w:vertAlign w:val="superscript"/>
        </w:rPr>
        <w:t>P270</w:t>
      </w:r>
    </w:p>
    <w:p>
      <w:pPr>
        <w:spacing w:before="120" w:after="40"/>
      </w:pPr>
      <w:r>
        <w:rPr>
          <w:b/>
          <w:sz w:val="21"/>
          <w:shd w:fill="D6E4F0" w:val="clear"/>
        </w:rPr>
        <w:t>B项错误：</w:t>
      </w:r>
    </w:p>
    <w:p>
      <w:pPr>
        <w:spacing w:line="360" w:lineRule="auto" w:after="40"/>
        <w:ind w:firstLine="420"/>
      </w:pPr>
      <w:r>
        <w:t>风险为本方法要求根据客户、交易、地域等多维风险特征动态分配监控资源，而非仅依赖“之前已标记”这一历史状态。教材指出适当的分群确保对不同客户群体进行适当监控，而非只关注已标记客户。以历史标记替代风险评级，无法捕捉尚未被标记但风险正在上升的客户，与RBA的主动、全面评估原则匹配度较低。</w:t>
      </w:r>
    </w:p>
    <w:p>
      <w:pPr>
        <w:spacing w:before="120" w:after="40"/>
      </w:pPr>
      <w:r>
        <w:rPr>
          <w:b/>
          <w:sz w:val="21"/>
          <w:shd w:fill="D6E4F0" w:val="clear"/>
        </w:rPr>
        <w:t>E项错误：</w:t>
      </w:r>
    </w:p>
    <w:p>
      <w:pPr>
        <w:spacing w:line="360" w:lineRule="auto" w:after="40"/>
        <w:ind w:firstLine="420"/>
      </w:pPr>
      <w:r>
        <w:t>风险为本方法的核心是按风险高低分配资源，高风险客户接受强化尽职调查和加强监控，从而有效分配资源。在所有客户群体间平均分配资源，违背了RBA“措施与风险成比例”的基本原则，无法体现不同客户群体的风险差异。</w:t>
      </w:r>
    </w:p>
    <w:p>
      <w:pPr>
        <w:spacing w:before="120" w:after="40"/>
      </w:pPr>
      <w:r>
        <w:rPr>
          <w:b/>
          <w:sz w:val="21"/>
          <w:shd w:fill="D6E4F0" w:val="clear"/>
        </w:rPr>
        <w:t>易错提醒：</w:t>
      </w:r>
    </w:p>
    <w:p>
      <w:pPr>
        <w:spacing w:line="360" w:lineRule="auto" w:after="40"/>
        <w:ind w:firstLine="420"/>
      </w:pPr>
      <w:r>
        <w:t>风险为本方法容易与“平均主义”或“仅凭历史标记”混淆。教材明确：RBA要求基于当前风险评估差异化配置资源</w:t>
      </w:r>
      <w:r>
        <w:rPr>
          <w:sz w:val="15"/>
          <w:vertAlign w:val="superscript"/>
        </w:rPr>
        <w:t>P270</w:t>
      </w:r>
      <w:r>
        <w:t>，而非一刀切平均分配，也不能仅靠过去标记来决定监控强度。</w:t>
      </w:r>
    </w:p>
    <w:p>
      <w:pPr>
        <w:spacing w:line="360" w:lineRule="auto" w:after="120"/>
      </w:pPr>
      <w:r/>
    </w:p>
    <w:p>
      <w:pPr>
        <w:spacing w:line="360" w:lineRule="auto" w:after="40"/>
      </w:pPr>
      <w:r>
        <w:t>17. What are the most effective measures to boost risk appetite awareness across an organization after a risk appetite has been set and a risk appetite statement (RAS) has been drafted? (Select Three.)</w:t>
      </w:r>
    </w:p>
    <w:p>
      <w:pPr>
        <w:spacing w:line="360" w:lineRule="auto" w:after="20"/>
        <w:ind w:firstLine="283"/>
      </w:pPr>
      <w:r>
        <w:t>A. Provide training to staff so they understand the role risk appetite and its limits play in the safe conduct of business</w:t>
      </w:r>
    </w:p>
    <w:p>
      <w:pPr>
        <w:spacing w:line="360" w:lineRule="auto" w:after="20"/>
        <w:ind w:firstLine="283"/>
      </w:pPr>
      <w:r>
        <w:t>B. Train all managers on the importance and benefits of good risk-taking</w:t>
      </w:r>
    </w:p>
    <w:p>
      <w:pPr>
        <w:spacing w:line="360" w:lineRule="auto" w:after="20"/>
        <w:ind w:firstLine="283"/>
      </w:pPr>
      <w:r>
        <w:t>C. Embed the risk appetite into everyday processes and governance</w:t>
      </w:r>
    </w:p>
    <w:p>
      <w:pPr>
        <w:spacing w:line="360" w:lineRule="auto" w:after="20"/>
        <w:ind w:firstLine="283"/>
      </w:pPr>
      <w:r>
        <w:t>D. Describe risk controls for business colleagues</w:t>
      </w:r>
    </w:p>
    <w:p>
      <w:pPr>
        <w:spacing w:line="360" w:lineRule="auto" w:after="20"/>
        <w:ind w:firstLine="283"/>
      </w:pPr>
      <w:r>
        <w:t>E. Integrate misalignment with risk appetite into internal reporting procedures</w:t>
      </w:r>
    </w:p>
    <w:p>
      <w:pPr>
        <w:spacing w:line="360" w:lineRule="auto" w:after="40"/>
      </w:pPr>
      <w:r>
        <w:t>答案：A、C、E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如何将纸面风险偏好嵌入组织日常运作以提升全员意识</w:t>
      </w:r>
    </w:p>
    <w:p>
      <w:pPr>
        <w:spacing w:before="120" w:after="40"/>
      </w:pPr>
      <w:r>
        <w:rPr>
          <w:b/>
          <w:sz w:val="21"/>
          <w:shd w:fill="D6E4F0" w:val="clear"/>
        </w:rPr>
        <w:t>核心解析：</w:t>
      </w:r>
    </w:p>
    <w:p>
      <w:pPr>
        <w:spacing w:line="360" w:lineRule="auto" w:after="40"/>
        <w:ind w:firstLine="420"/>
      </w:pPr>
      <w:r>
        <w:t>风险偏好声明（RAS）制定了规则，但提升意识的关键在于让它“活”起来。题干问的是在RAS起草之后如何提升意识，这对应教材中三个层层递进的落地动作：第一，RAS会被“</w:t>
      </w:r>
      <w:r>
        <w:rPr>
          <w:b/>
        </w:rPr>
        <w:t>编入政策和程序</w:t>
      </w:r>
      <w:r>
        <w:t>”，也就是嵌入日常流程和治理（选项C）</w:t>
      </w:r>
      <w:r>
        <w:rPr>
          <w:sz w:val="15"/>
          <w:vertAlign w:val="superscript"/>
        </w:rPr>
        <w:t>P270</w:t>
      </w:r>
      <w:r>
        <w:t>；第二，要通过培训确保员工“理解其在缓解风险中的角色”，也就是让他们知道风险限额在日常业务中的作用（选项A）</w:t>
      </w:r>
      <w:r>
        <w:rPr>
          <w:sz w:val="15"/>
          <w:vertAlign w:val="superscript"/>
        </w:rPr>
        <w:t>P262</w:t>
      </w:r>
      <w:r>
        <w:t>；第三，要用风险评估去“</w:t>
      </w:r>
      <w:r>
        <w:rPr>
          <w:b/>
        </w:rPr>
        <w:t>识别可能超出机构风险偏好的客户、产品和服务</w:t>
      </w:r>
      <w:r>
        <w:t>”，这本质上就是把偏离纳入内部报告程序（选项E）</w:t>
      </w:r>
      <w:r>
        <w:rPr>
          <w:sz w:val="15"/>
          <w:vertAlign w:val="superscript"/>
        </w:rPr>
        <w:t>P281</w:t>
      </w:r>
      <w:r>
        <w:t>。三者合在一起，构成了从制度嵌入、人员赋能到监测反馈的完整闭环，直接回答了“如何让组织意识到风险偏好的存在”。</w:t>
      </w:r>
    </w:p>
    <w:p>
      <w:pPr>
        <w:spacing w:before="120" w:after="40"/>
      </w:pPr>
      <w:r>
        <w:rPr>
          <w:b/>
          <w:sz w:val="21"/>
          <w:shd w:fill="D6E4F0" w:val="clear"/>
        </w:rPr>
        <w:t>教材原句：</w:t>
      </w:r>
    </w:p>
    <w:p>
      <w:pPr>
        <w:spacing w:line="360" w:lineRule="auto" w:after="40"/>
        <w:ind w:firstLine="420"/>
      </w:pPr>
      <w:r>
        <w:t>"The risk appetite statement is codified in policies and procedures."</w:t>
      </w:r>
      <w:r>
        <w:rPr>
          <w:sz w:val="15"/>
          <w:vertAlign w:val="superscript"/>
        </w:rPr>
        <w:t>P270</w:t>
      </w:r>
    </w:p>
    <w:p>
      <w:pPr>
        <w:spacing w:before="120" w:after="40"/>
      </w:pPr>
      <w:r>
        <w:rPr>
          <w:b/>
          <w:sz w:val="21"/>
          <w:shd w:fill="D6E4F0" w:val="clear"/>
        </w:rPr>
        <w:t>B项错误：</w:t>
      </w:r>
    </w:p>
    <w:p>
      <w:pPr>
        <w:spacing w:line="360" w:lineRule="auto" w:after="40"/>
        <w:ind w:firstLine="420"/>
      </w:pPr>
      <w:r>
        <w:t>该选项强调“适当承担风险”的益处，但教材将风险偏好定义为“可接受的风险水平”，其核心功能是“为业务设定边界”。题干问的是提升风险偏好意识，重点是让组织理解并遵守这条边界，选项B却聚焦于说服管理者承担风险，匹配度较低。</w:t>
      </w:r>
    </w:p>
    <w:p>
      <w:pPr>
        <w:spacing w:before="120" w:after="40"/>
      </w:pPr>
      <w:r>
        <w:rPr>
          <w:b/>
          <w:sz w:val="21"/>
          <w:shd w:fill="D6E4F0" w:val="clear"/>
        </w:rPr>
        <w:t>D项错误：</w:t>
      </w:r>
    </w:p>
    <w:p>
      <w:pPr>
        <w:spacing w:line="360" w:lineRule="auto" w:after="40"/>
        <w:ind w:firstLine="420"/>
      </w:pPr>
      <w:r>
        <w:t>该选项仅说明向业务人员介绍控制措施。教材指出，控制措施“是为降低风险并确保遵守政策和程序而采取的行动”。虽然培训中可能涉及控制措施，但A直接要求员工理解RAS及其限额的作用，C则将RAS嵌入日常流程，二者更直接提升整个组织的风险偏好意识。</w:t>
      </w:r>
    </w:p>
    <w:p>
      <w:pPr>
        <w:spacing w:before="120" w:after="40"/>
      </w:pPr>
      <w:r>
        <w:rPr>
          <w:b/>
          <w:sz w:val="21"/>
          <w:shd w:fill="D6E4F0" w:val="clear"/>
        </w:rPr>
        <w:t>易错提醒：</w:t>
      </w:r>
    </w:p>
    <w:p>
      <w:pPr>
        <w:spacing w:line="360" w:lineRule="auto" w:after="40"/>
        <w:ind w:firstLine="420"/>
      </w:pPr>
      <w:r>
        <w:t>“培训”和“嵌入流程”是提升意识的两个不同抓手。培训让员工理解RAS的作用</w:t>
      </w:r>
      <w:r>
        <w:rPr>
          <w:sz w:val="15"/>
          <w:vertAlign w:val="superscript"/>
        </w:rPr>
        <w:t>P262</w:t>
      </w:r>
      <w:r>
        <w:t>，嵌入流程则让风险偏好在日常决策中得到持续体现</w:t>
      </w:r>
      <w:r>
        <w:rPr>
          <w:sz w:val="15"/>
          <w:vertAlign w:val="superscript"/>
        </w:rPr>
        <w:t>P270</w:t>
      </w:r>
      <w:r>
        <w:t>。选项B将重点由“理解和遵守风险边界”转向“鼓励承担风险”，因此不够匹配。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