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 (EN)</w:t>
      </w:r>
    </w:p>
    <w:p>
      <w:pPr>
        <w:spacing w:line="360" w:lineRule="auto" w:after="160"/>
      </w:pPr>
      <w:r>
        <w:t>一、单项选择题</w:t>
      </w:r>
    </w:p>
    <w:p>
      <w:pPr>
        <w:spacing w:line="360" w:lineRule="auto" w:after="40"/>
      </w:pPr>
      <w:r>
        <w:t>1. An AML compliance officer receives an independent audit report with a number of findings. An appropriate response to the report would include:</w:t>
      </w:r>
    </w:p>
    <w:p>
      <w:pPr>
        <w:spacing w:line="360" w:lineRule="auto" w:after="20"/>
        <w:ind w:firstLine="283"/>
      </w:pPr>
      <w:r>
        <w:t>A. Drafting detailed action plans for the audit team to execute to close the findings</w:t>
      </w:r>
    </w:p>
    <w:p>
      <w:pPr>
        <w:spacing w:line="360" w:lineRule="auto" w:after="20"/>
        <w:ind w:firstLine="283"/>
      </w:pPr>
      <w:r>
        <w:t>B. Reperforming the testing for the controls mentioned in the findings to confirm the results of the audit</w:t>
      </w:r>
    </w:p>
    <w:p>
      <w:pPr>
        <w:spacing w:line="360" w:lineRule="auto" w:after="20"/>
        <w:ind w:firstLine="283"/>
      </w:pPr>
      <w:r>
        <w:t>C. Defining remedial actions based on the findings' root cause analysis</w:t>
      </w:r>
    </w:p>
    <w:p>
      <w:pPr>
        <w:spacing w:line="360" w:lineRule="auto" w:after="20"/>
        <w:ind w:firstLine="283"/>
      </w:pPr>
      <w:r>
        <w:t>D. Assigning responsibility for reviewing the action plan to the board of directors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收到审计发现后应优先分析根本原因再定补救措施</w:t>
      </w:r>
    </w:p>
    <w:p>
      <w:pPr>
        <w:spacing w:before="120" w:after="40"/>
      </w:pPr>
      <w:r>
        <w:rPr>
          <w:b/>
          <w:sz w:val="21"/>
          <w:shd w:fill="D6E4F0" w:val="clear"/>
        </w:rPr>
        <w:t>核心解析：</w:t>
      </w:r>
    </w:p>
    <w:p>
      <w:pPr>
        <w:spacing w:line="360" w:lineRule="auto" w:after="40"/>
        <w:ind w:firstLine="420"/>
      </w:pPr>
      <w:r>
        <w:t>教材规定，当控制出现缺失或错误时，“组织必须分析并纠正错误的根本原因以避免再次发生”</w:t>
      </w:r>
      <w:r>
        <w:rPr>
          <w:sz w:val="15"/>
          <w:vertAlign w:val="superscript"/>
        </w:rPr>
        <w:t>P279</w:t>
      </w:r>
      <w:r>
        <w:t>。题干中反洗钱合规官收到独立审计报告，报告内包含若干发现——这正是</w:t>
      </w:r>
      <w:r>
        <w:rPr>
          <w:b/>
        </w:rPr>
        <w:t>控制可能失效或存在缺口</w:t>
      </w:r>
      <w:r>
        <w:t>的情形。此时恰当的回应不是立即为审计团队起草计划，也不是自行重新测试审计结论，更不是直接把审查责任推给董事会，而是先根据发现进行</w:t>
      </w:r>
      <w:r>
        <w:rPr>
          <w:b/>
        </w:rPr>
        <w:t>“根本原因分析”</w:t>
      </w:r>
      <w:r>
        <w:t>（root cause analysis），再据此确定</w:t>
      </w:r>
      <w:r>
        <w:rPr>
          <w:b/>
        </w:rPr>
        <w:t>补救措施</w:t>
      </w:r>
      <w:r>
        <w:t>。选项C直接对应这条规则，从分析到补救的路径与教材一致。</w:t>
      </w:r>
    </w:p>
    <w:p>
      <w:pPr>
        <w:spacing w:before="120" w:after="40"/>
      </w:pPr>
      <w:r>
        <w:rPr>
          <w:b/>
          <w:sz w:val="21"/>
          <w:shd w:fill="D6E4F0" w:val="clear"/>
        </w:rPr>
        <w:t>教材原句：</w:t>
      </w:r>
    </w:p>
    <w:p>
      <w:pPr>
        <w:spacing w:line="360" w:lineRule="auto" w:after="40"/>
        <w:ind w:firstLine="420"/>
      </w:pPr>
      <w:r>
        <w:t>"The organization must analyze and correct the root cause of the error to avoid recurrence."</w:t>
      </w:r>
    </w:p>
    <w:p>
      <w:pPr>
        <w:spacing w:before="120" w:after="40"/>
      </w:pPr>
      <w:r>
        <w:rPr>
          <w:b/>
          <w:sz w:val="21"/>
          <w:shd w:fill="D6E4F0" w:val="clear"/>
        </w:rPr>
        <w:t>A项错误：</w:t>
      </w:r>
    </w:p>
    <w:p>
      <w:pPr>
        <w:spacing w:line="360" w:lineRule="auto" w:after="40"/>
        <w:ind w:firstLine="420"/>
      </w:pPr>
      <w:r>
        <w:t>教材提到审计后可与内部审计持续沟通以制定行动计划</w:t>
      </w:r>
      <w:r>
        <w:rPr>
          <w:sz w:val="15"/>
          <w:vertAlign w:val="superscript"/>
        </w:rPr>
        <w:t>P258</w:t>
      </w:r>
      <w:r>
        <w:t>，但行动计划的制定和实施主体是反洗钱合规团队自身，而非为审计团队起草。选项A将行动计划的起草对象指向审计团队，与教材强调的“反洗钱合规团队可及时实施改进”的职责定位不吻合，因此比起C项的直接根本原因分析回应，A的匹配度更弱。</w:t>
      </w:r>
    </w:p>
    <w:p>
      <w:pPr>
        <w:spacing w:before="120" w:after="40"/>
      </w:pPr>
      <w:r>
        <w:rPr>
          <w:b/>
          <w:sz w:val="21"/>
          <w:shd w:fill="D6E4F0" w:val="clear"/>
        </w:rPr>
        <w:t>B项错误：</w:t>
      </w:r>
    </w:p>
    <w:p>
      <w:pPr>
        <w:spacing w:line="360" w:lineRule="auto" w:after="40"/>
        <w:ind w:firstLine="420"/>
      </w:pPr>
      <w:r>
        <w:t>重新对审计发现中的控制进行测试属于确认审计结果的程序，通常由内部审计或合规测试职能负责；教材提到合规测试职能进行QA审查P251。题干中的反洗钱合规官处于收到审计报告后的回应角色，更合理的做法是基于审计发现去分析根源和设计补救，而非重复验证审计结论的准确性。</w:t>
      </w:r>
    </w:p>
    <w:p>
      <w:pPr>
        <w:spacing w:before="120" w:after="40"/>
      </w:pPr>
      <w:r>
        <w:rPr>
          <w:b/>
          <w:sz w:val="21"/>
          <w:shd w:fill="D6E4F0" w:val="clear"/>
        </w:rPr>
        <w:t>D项错误：</w:t>
      </w:r>
    </w:p>
    <w:p>
      <w:pPr>
        <w:spacing w:line="360" w:lineRule="auto" w:after="40"/>
        <w:ind w:firstLine="420"/>
      </w:pPr>
      <w:r>
        <w:t>董事会负有监督反洗钱计划有效性和确保缺陷被及时解决的最终责任（P259‑260），但这并不意味着日常将“审查行动计划”的责任全部分配给董事会。行动计划更常由业务负责人、运营负责人具体执行和审查，董事会关注战略方向和重大缺陷。教材中董事会角色侧重于批准风险偏好和确保项目获得资源，其监督性质与选项D所述的直接审查责任分配相比，C项在程序阶段上更贴合合规官收到报告后的直接行动。</w:t>
      </w:r>
    </w:p>
    <w:p>
      <w:pPr>
        <w:spacing w:before="120" w:after="40"/>
      </w:pPr>
      <w:r>
        <w:rPr>
          <w:b/>
          <w:sz w:val="21"/>
          <w:shd w:fill="D6E4F0" w:val="clear"/>
        </w:rPr>
        <w:t>易错提醒：</w:t>
      </w:r>
    </w:p>
    <w:p>
      <w:pPr>
        <w:spacing w:line="360" w:lineRule="auto" w:after="40"/>
        <w:ind w:firstLine="420"/>
      </w:pPr>
      <w:r>
        <w:t>容易将“制定行动计划”视作收到审计报告的常规回应，但教材框架下，行动计划来源于对发现的分析，尤其是根本原因分析</w:t>
      </w:r>
      <w:r>
        <w:rPr>
          <w:sz w:val="15"/>
          <w:vertAlign w:val="superscript"/>
        </w:rPr>
        <w:t>P279</w:t>
      </w:r>
      <w:r>
        <w:t>。没有分析直接制定计划可能治标不治本，而先分析根本原因再确定补救措施，才是教材所强调的正确顺序。</w:t>
      </w:r>
    </w:p>
    <w:p>
      <w:pPr>
        <w:spacing w:line="360" w:lineRule="auto" w:after="120"/>
      </w:pPr>
      <w:r/>
    </w:p>
    <w:p>
      <w:pPr>
        <w:spacing w:line="360" w:lineRule="auto" w:after="40"/>
      </w:pPr>
      <w:r>
        <w:t>2. A financial institution is conducting an enterprise-wide risk assessment (EWRA) and has identified a high inherent risk of money laundering associated with its private banking division due to the clientele's high net worth and complex financial structures. However, the institution has implemented robust customer due diligence (CDD) and enhanced due diligence (EDD) procedures, along with sophisticated transaction monitoring systems. How would these controls impact the assessment of residual risk?</w:t>
      </w:r>
    </w:p>
    <w:p>
      <w:pPr>
        <w:spacing w:line="360" w:lineRule="auto" w:after="20"/>
        <w:ind w:firstLine="283"/>
      </w:pPr>
      <w:r>
        <w:t>A. The residual risk would be significantly reduced due to the effectiveness of the controls in place</w:t>
      </w:r>
    </w:p>
    <w:p>
      <w:pPr>
        <w:spacing w:line="360" w:lineRule="auto" w:after="20"/>
        <w:ind w:firstLine="283"/>
      </w:pPr>
      <w:r>
        <w:t>B. The residual risk would be moderately reduced, but further controls may be necessary to achieve an acceptable level</w:t>
      </w:r>
    </w:p>
    <w:p>
      <w:pPr>
        <w:spacing w:line="360" w:lineRule="auto" w:after="20"/>
        <w:ind w:firstLine="283"/>
      </w:pPr>
      <w:r>
        <w:t>C. The residual risk would remain high due to the inherent nature of private banking</w:t>
      </w:r>
    </w:p>
    <w:p>
      <w:pPr>
        <w:spacing w:line="360" w:lineRule="auto" w:after="20"/>
        <w:ind w:firstLine="283"/>
      </w:pPr>
      <w:r>
        <w:t>D. The residual risk would be completely eliminated because these controls reduce all potential risks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强控制措施会显著降低高固有风险对应的剩余风险</w:t>
      </w:r>
    </w:p>
    <w:p>
      <w:pPr>
        <w:spacing w:before="120" w:after="40"/>
      </w:pPr>
      <w:r>
        <w:rPr>
          <w:b/>
          <w:sz w:val="21"/>
          <w:shd w:fill="D6E4F0" w:val="clear"/>
        </w:rPr>
        <w:t>核心解析：</w:t>
      </w:r>
    </w:p>
    <w:p>
      <w:pPr>
        <w:spacing w:line="360" w:lineRule="auto" w:after="40"/>
        <w:ind w:firstLine="420"/>
      </w:pPr>
      <w:r>
        <w:t>教材指出，剩余风险的评估逻辑是</w:t>
      </w:r>
      <w:r>
        <w:rPr>
          <w:b/>
        </w:rPr>
        <w:t>“固有风险 - 控制有效性 = 剩余风险”</w:t>
      </w:r>
      <w:r>
        <w:rPr>
          <w:sz w:val="15"/>
          <w:vertAlign w:val="superscript"/>
        </w:rPr>
        <w:t>P278</w:t>
      </w:r>
      <w:r>
        <w:t>。因此，私人银行业务因高净值客户和复杂财务结构而具有较高固有风险，并不代表剩余风险一定仍然很高，关键要看</w:t>
      </w:r>
      <w:r>
        <w:rPr>
          <w:b/>
        </w:rPr>
        <w:t>现有控制措施是否能有效缓释该风险</w:t>
      </w:r>
      <w:r>
        <w:t>。</w:t>
      </w:r>
    </w:p>
    <w:p>
      <w:pPr>
        <w:spacing w:line="360" w:lineRule="auto" w:after="40"/>
        <w:ind w:firstLine="420"/>
      </w:pPr>
      <w:r>
        <w:t xml:space="preserve">题干中，机构已实施 </w:t>
      </w:r>
      <w:r>
        <w:rPr>
          <w:b/>
        </w:rPr>
        <w:t>robust CDD/EDD procedures</w:t>
      </w:r>
      <w:r>
        <w:t xml:space="preserve"> 和 </w:t>
      </w:r>
      <w:r>
        <w:rPr>
          <w:b/>
        </w:rPr>
        <w:t>sophisticated transaction monitoring systems</w:t>
      </w:r>
      <w:r>
        <w:t>。这里的 robust 和 sophisticated 是重要判断线索，说明题干并非只说“存在控制”，而是在强调这些控制较为健全、成熟，具有较强的风险缓释能力。教材也举例说明，对于高风险客户，如果机构实施EDD、核实资金来源和财富来源并加强业务关系监控，且这些控制被判断为有效，剩余风险可以降至中等或较低水平</w:t>
      </w:r>
      <w:r>
        <w:rPr>
          <w:sz w:val="15"/>
          <w:vertAlign w:val="superscript"/>
        </w:rPr>
        <w:t>P278</w:t>
      </w:r>
      <w:r>
        <w:t>。本题所列CDD、EDD和先进交易监控正是这类缓释措施，因此最符合题意的判断是：由于</w:t>
      </w:r>
      <w:r>
        <w:rPr>
          <w:b/>
        </w:rPr>
        <w:t>现有控制措施有效</w:t>
      </w:r>
      <w:r>
        <w:t>，剩余风险将显著降低。</w:t>
      </w:r>
    </w:p>
    <w:p>
      <w:pPr>
        <w:spacing w:before="120" w:after="40"/>
      </w:pPr>
      <w:r>
        <w:rPr>
          <w:b/>
          <w:sz w:val="21"/>
          <w:shd w:fill="D6E4F0" w:val="clear"/>
        </w:rPr>
        <w:t>教材原句：</w:t>
      </w:r>
    </w:p>
    <w:p>
      <w:pPr>
        <w:spacing w:line="360" w:lineRule="auto" w:after="40"/>
        <w:ind w:firstLine="420"/>
      </w:pPr>
      <w:r>
        <w:t>"inherent risk minus control effectiveness equals residual risk (inherent risk – control effectiveness = residual risk)."</w:t>
      </w:r>
    </w:p>
    <w:p>
      <w:pPr>
        <w:spacing w:before="120" w:after="40"/>
      </w:pPr>
      <w:r>
        <w:rPr>
          <w:b/>
          <w:sz w:val="21"/>
          <w:shd w:fill="D6E4F0" w:val="clear"/>
        </w:rPr>
        <w:t>B项错误：</w:t>
      </w:r>
    </w:p>
    <w:p>
      <w:pPr>
        <w:spacing w:line="360" w:lineRule="auto" w:after="40"/>
        <w:ind w:firstLine="420"/>
      </w:pPr>
      <w:r>
        <w:t>B项虽然承认控制措施会降低风险，但进一步加入“可能仍需进一步控制才能达到可接受水平”这一判断。题干并未说明CDD/EDD执行不足、交易监控存在缺陷、控制运行不一致或剩余风险仍超过风险偏好；相反，robust 和 sophisticated 已经提示现有控制较强。因此B项比A项多引入了题干没有给出的控制不足假设。</w:t>
      </w:r>
    </w:p>
    <w:p>
      <w:pPr>
        <w:spacing w:before="120" w:after="40"/>
      </w:pPr>
      <w:r>
        <w:rPr>
          <w:b/>
          <w:sz w:val="21"/>
          <w:shd w:fill="D6E4F0" w:val="clear"/>
        </w:rPr>
        <w:t>C项错误：</w:t>
      </w:r>
    </w:p>
    <w:p>
      <w:pPr>
        <w:spacing w:line="360" w:lineRule="auto" w:after="40"/>
        <w:ind w:firstLine="420"/>
      </w:pPr>
      <w:r>
        <w:t>教材明确，控制措施旨在降低固有风险</w:t>
      </w:r>
      <w:r>
        <w:rPr>
          <w:sz w:val="15"/>
          <w:vertAlign w:val="superscript"/>
        </w:rPr>
        <w:t>P278</w:t>
      </w:r>
      <w:r>
        <w:t>，剩余风险是在考虑控制措施之后的风险水平</w:t>
      </w:r>
      <w:r>
        <w:rPr>
          <w:sz w:val="15"/>
          <w:vertAlign w:val="superscript"/>
        </w:rPr>
        <w:t>P279</w:t>
      </w:r>
      <w:r>
        <w:t>。选项C仅强调固有风险性质，完全忽视了题干中已实施的控制措施对风险的缓解作用，与教材的剩余风险计算逻辑不符。</w:t>
      </w:r>
    </w:p>
    <w:p>
      <w:pPr>
        <w:spacing w:before="120" w:after="40"/>
      </w:pPr>
      <w:r>
        <w:rPr>
          <w:b/>
          <w:sz w:val="21"/>
          <w:shd w:fill="D6E4F0" w:val="clear"/>
        </w:rPr>
        <w:t>D项错误：</w:t>
      </w:r>
    </w:p>
    <w:p>
      <w:pPr>
        <w:spacing w:line="360" w:lineRule="auto" w:after="40"/>
        <w:ind w:firstLine="420"/>
      </w:pPr>
      <w:r>
        <w:t>教材中提到，控制措施旨在将风险降至与机构风险偏好一致的水平</w:t>
      </w:r>
      <w:r>
        <w:rPr>
          <w:sz w:val="15"/>
          <w:vertAlign w:val="superscript"/>
        </w:rPr>
        <w:t>P278</w:t>
      </w:r>
      <w:r>
        <w:t>，并未声称控制措施能降低“所有潜在风险”或将剩余风险“完全消除”。在反洗钱/反恐怖融资领域，没有任何控制措施能保证消除所有风险。</w:t>
      </w:r>
    </w:p>
    <w:p>
      <w:pPr>
        <w:spacing w:before="120" w:after="40"/>
      </w:pPr>
      <w:r>
        <w:rPr>
          <w:b/>
          <w:sz w:val="21"/>
          <w:shd w:fill="D6E4F0" w:val="clear"/>
        </w:rPr>
        <w:t>易错提醒：</w:t>
      </w:r>
    </w:p>
    <w:p>
      <w:pPr>
        <w:spacing w:line="360" w:lineRule="auto" w:after="40"/>
        <w:ind w:firstLine="420"/>
      </w:pPr>
      <w:r>
        <w:t>不要把“高固有风险”直接等同于“高剩余风险”。剩余风险必须结合控制有效性评估。本题中 robust CDD/EDD 和 sophisticated transaction monitoring 已经提示控制措施较强，所以应选“显著降低”，而不是额外假设还需要进一步控制；但风险缓释也不等于风险完全消除。</w:t>
      </w:r>
    </w:p>
    <w:p>
      <w:pPr>
        <w:spacing w:line="360" w:lineRule="auto" w:after="120"/>
      </w:pPr>
      <w:r/>
    </w:p>
    <w:p>
      <w:pPr>
        <w:spacing w:line="360" w:lineRule="auto" w:after="40"/>
      </w:pPr>
      <w:r>
        <w:t>3. The effectiveness of AML/CFT measures can be best measured by the extent to which systems and controls:</w:t>
      </w:r>
    </w:p>
    <w:p>
      <w:pPr>
        <w:spacing w:line="360" w:lineRule="auto" w:after="20"/>
        <w:ind w:firstLine="283"/>
      </w:pPr>
      <w:r>
        <w:t>A. Comply with relevant laws and regulations</w:t>
      </w:r>
    </w:p>
    <w:p>
      <w:pPr>
        <w:spacing w:line="360" w:lineRule="auto" w:after="20"/>
        <w:ind w:firstLine="283"/>
      </w:pPr>
      <w:r>
        <w:t>B. Minimize the operational burden placed on the financial institution</w:t>
      </w:r>
    </w:p>
    <w:p>
      <w:pPr>
        <w:spacing w:line="360" w:lineRule="auto" w:after="20"/>
        <w:ind w:firstLine="283"/>
      </w:pPr>
      <w:r>
        <w:t>C. Mitigate the risks and threats of financial crime</w:t>
      </w:r>
    </w:p>
    <w:p>
      <w:pPr>
        <w:spacing w:line="360" w:lineRule="auto" w:after="20"/>
        <w:ind w:firstLine="283"/>
      </w:pPr>
      <w:r>
        <w:t>D. Are implemented in a cost-effective way</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以风险降低程度衡量AML/CFT控制措施有效性</w:t>
      </w:r>
    </w:p>
    <w:p>
      <w:pPr>
        <w:spacing w:before="120" w:after="40"/>
      </w:pPr>
      <w:r>
        <w:rPr>
          <w:b/>
          <w:sz w:val="21"/>
          <w:shd w:fill="D6E4F0" w:val="clear"/>
        </w:rPr>
        <w:t>核心解析：</w:t>
      </w:r>
    </w:p>
    <w:p>
      <w:pPr>
        <w:spacing w:line="360" w:lineRule="auto" w:after="40"/>
        <w:ind w:firstLine="420"/>
      </w:pPr>
      <w:r>
        <w:t>教材将控制措施有效性定义为</w:t>
      </w:r>
      <w:r>
        <w:rPr>
          <w:b/>
        </w:rPr>
        <w:t>“降低固有风险”的能力</w:t>
      </w:r>
      <w:r>
        <w:rPr>
          <w:sz w:val="15"/>
          <w:vertAlign w:val="superscript"/>
        </w:rPr>
        <w:t>P278</w:t>
      </w:r>
      <w:r>
        <w:t>。组织应评估控制措施以确定其在多大程度上减少了固有的洗钱/恐怖融资风险</w:t>
      </w:r>
      <w:r>
        <w:rPr>
          <w:sz w:val="15"/>
          <w:vertAlign w:val="superscript"/>
        </w:rPr>
        <w:t>P278</w:t>
      </w:r>
      <w:r>
        <w:t>，而控制措施本就是为将客户、地域等维度的固有风险降至可接受水平而设计</w:t>
      </w:r>
      <w:r>
        <w:rPr>
          <w:sz w:val="15"/>
          <w:vertAlign w:val="superscript"/>
        </w:rPr>
        <w:t>P278</w:t>
      </w:r>
      <w:r>
        <w:t>。题干问的是系统和控制措施在多大程度上能做到什么——这一“做到”直接对应教材中衡量控制效果的核心标尺，即</w:t>
      </w:r>
      <w:r>
        <w:rPr>
          <w:b/>
        </w:rPr>
        <w:t>减轻金融犯罪的风险和威胁</w:t>
      </w:r>
      <w:r>
        <w:t>。因此，选项C抓住了有效性评估的实质，而非停留在合规达标或成本效率等外围指标。</w:t>
      </w:r>
    </w:p>
    <w:p>
      <w:pPr>
        <w:spacing w:before="120" w:after="40"/>
      </w:pPr>
      <w:r>
        <w:rPr>
          <w:b/>
          <w:sz w:val="21"/>
          <w:shd w:fill="D6E4F0" w:val="clear"/>
        </w:rPr>
        <w:t>教材原句：</w:t>
      </w:r>
    </w:p>
    <w:p>
      <w:pPr>
        <w:spacing w:line="360" w:lineRule="auto" w:after="40"/>
        <w:ind w:firstLine="420"/>
      </w:pPr>
      <w:r>
        <w:t>"Organizations should evaluate these control measures to determine their effectiveness in reducing inherent risks."</w:t>
      </w:r>
    </w:p>
    <w:p>
      <w:pPr>
        <w:spacing w:before="120" w:after="40"/>
      </w:pPr>
      <w:r>
        <w:rPr>
          <w:b/>
          <w:sz w:val="21"/>
          <w:shd w:fill="D6E4F0" w:val="clear"/>
        </w:rPr>
        <w:t>A项错误：</w:t>
      </w:r>
    </w:p>
    <w:p>
      <w:pPr>
        <w:spacing w:line="360" w:lineRule="auto" w:after="40"/>
        <w:ind w:firstLine="420"/>
      </w:pPr>
      <w:r>
        <w:t>遵守法律法规是实现有效控制的前提条件，但教材框架下有效性的衡量直接指向固有风险的降低程度，合规本身不能替代对风险减少效果的评判，因此A不如C直接匹配有效性的定义。</w:t>
      </w:r>
    </w:p>
    <w:p>
      <w:pPr>
        <w:spacing w:before="120" w:after="40"/>
      </w:pPr>
      <w:r>
        <w:rPr>
          <w:b/>
          <w:sz w:val="21"/>
          <w:shd w:fill="D6E4F0" w:val="clear"/>
        </w:rPr>
        <w:t>B项错误：</w:t>
      </w:r>
    </w:p>
    <w:p>
      <w:pPr>
        <w:spacing w:line="360" w:lineRule="auto" w:after="40"/>
        <w:ind w:firstLine="420"/>
      </w:pPr>
      <w:r>
        <w:t>反洗钱与反恐怖融资措施通常会增加机构的运营负担，而非将其最小化，教材也未将运营负担的最小化作为有效性衡量标准；题干更支持以风险缓解结果为导向的C选项。</w:t>
      </w:r>
    </w:p>
    <w:p>
      <w:pPr>
        <w:spacing w:before="120" w:after="40"/>
      </w:pPr>
      <w:r>
        <w:rPr>
          <w:b/>
          <w:sz w:val="21"/>
          <w:shd w:fill="D6E4F0" w:val="clear"/>
        </w:rPr>
        <w:t>D项错误：</w:t>
      </w:r>
    </w:p>
    <w:p>
      <w:pPr>
        <w:spacing w:line="360" w:lineRule="auto" w:after="40"/>
        <w:ind w:firstLine="420"/>
      </w:pPr>
      <w:r>
        <w:t>教材在技术治理语境下提到“运营效率”</w:t>
      </w:r>
      <w:r>
        <w:rPr>
          <w:sz w:val="15"/>
          <w:vertAlign w:val="superscript"/>
        </w:rPr>
        <w:t>P369</w:t>
      </w:r>
      <w:r>
        <w:t>，但那是实施手段而非有效性衡量标准；题干问的是控制措施在多大程度上‘做到’什么，C项聚焦的风险缓解更直接对应教材对控制目标的描述。</w:t>
      </w:r>
    </w:p>
    <w:p>
      <w:pPr>
        <w:spacing w:before="120" w:after="40"/>
      </w:pPr>
      <w:r>
        <w:rPr>
          <w:b/>
          <w:sz w:val="21"/>
          <w:shd w:fill="D6E4F0" w:val="clear"/>
        </w:rPr>
        <w:t>易错提醒：</w:t>
      </w:r>
    </w:p>
    <w:p>
      <w:pPr>
        <w:spacing w:line="360" w:lineRule="auto" w:after="40"/>
        <w:ind w:firstLine="420"/>
      </w:pPr>
      <w:r>
        <w:t>注意区分“合规达标”与“有效性”：教材要求评估控制措施降低固有风险的程度</w:t>
      </w:r>
      <w:r>
        <w:rPr>
          <w:sz w:val="15"/>
          <w:vertAlign w:val="superscript"/>
        </w:rPr>
        <w:t>P278</w:t>
      </w:r>
      <w:r>
        <w:t>，合规是手段，有效性是结果。也勿将“效率”误作“有效性”——成本效益不是衡量控制措施是否真正管住金融犯罪风险的核心标尺。</w:t>
      </w:r>
    </w:p>
    <w:p>
      <w:pPr>
        <w:spacing w:line="360" w:lineRule="auto" w:after="120"/>
      </w:pPr>
      <w:r/>
    </w:p>
    <w:p>
      <w:pPr>
        <w:spacing w:line="360" w:lineRule="auto" w:after="40"/>
      </w:pPr>
      <w:r>
        <w:t>4. An AML compliance officer is drafting plans to address deficiencies identified in an independent audit. Which approach is the best option?</w:t>
      </w:r>
    </w:p>
    <w:p>
      <w:pPr>
        <w:spacing w:line="360" w:lineRule="auto" w:after="20"/>
        <w:ind w:firstLine="283"/>
      </w:pPr>
      <w:r>
        <w:t>A. Only commit to action plans that require no new investment to maximize shareholder value</w:t>
      </w:r>
    </w:p>
    <w:p>
      <w:pPr>
        <w:spacing w:line="360" w:lineRule="auto" w:after="20"/>
        <w:ind w:firstLine="283"/>
      </w:pPr>
      <w:r>
        <w:t>B. Draft action plans in consultation with the jurisdiction's FIU to remain aligned with other similar companies</w:t>
      </w:r>
    </w:p>
    <w:p>
      <w:pPr>
        <w:spacing w:line="360" w:lineRule="auto" w:after="20"/>
        <w:ind w:firstLine="283"/>
      </w:pPr>
      <w:r>
        <w:t>C. Only commit to action plans that can be implemented and closed within the three-month management reporting cycle</w:t>
      </w:r>
    </w:p>
    <w:p>
      <w:pPr>
        <w:spacing w:line="360" w:lineRule="auto" w:after="20"/>
        <w:ind w:firstLine="283"/>
      </w:pPr>
      <w:r>
        <w:t>D. Draft action plans to address the root cause of the deficiencies, regardless of how long they will take to fully implement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纠正行动计划的核心是解决根本原因</w:t>
      </w:r>
    </w:p>
    <w:p>
      <w:pPr>
        <w:spacing w:before="120" w:after="40"/>
      </w:pPr>
      <w:r>
        <w:rPr>
          <w:b/>
          <w:sz w:val="21"/>
          <w:shd w:fill="D6E4F0" w:val="clear"/>
        </w:rPr>
        <w:t>核心解析：</w:t>
      </w:r>
    </w:p>
    <w:p>
      <w:pPr>
        <w:spacing w:line="360" w:lineRule="auto" w:after="40"/>
        <w:ind w:firstLine="420"/>
      </w:pPr>
      <w:r>
        <w:t>在反洗钱合规框架中，发现控制缺陷后，组织必须分析并纠正错误的</w:t>
      </w:r>
      <w:r>
        <w:rPr>
          <w:b/>
        </w:rPr>
        <w:t>根本原因</w:t>
      </w:r>
      <w:r>
        <w:t>以避免再次发生</w:t>
      </w:r>
      <w:r>
        <w:rPr>
          <w:sz w:val="15"/>
          <w:vertAlign w:val="superscript"/>
        </w:rPr>
        <w:t>P279</w:t>
      </w:r>
      <w:r>
        <w:t>。题干场景明确为“独立审计发现缺陷”后起草计划，这与教材中“纠正行动计划”（Corrective action plans）的补救与监控要求直接吻合：制定纠正行动计划、报告进展，并加强金融犯罪防控框架以防止问题再次发生</w:t>
      </w:r>
      <w:r>
        <w:rPr>
          <w:sz w:val="15"/>
          <w:vertAlign w:val="superscript"/>
        </w:rPr>
        <w:t>P299</w:t>
      </w:r>
      <w:r>
        <w:t>。一个全面的行动计划应明确</w:t>
      </w:r>
      <w:r>
        <w:rPr>
          <w:b/>
        </w:rPr>
        <w:t>业务负责人、截止日期和审查频率</w:t>
      </w:r>
      <w:r>
        <w:rPr>
          <w:sz w:val="15"/>
          <w:vertAlign w:val="superscript"/>
        </w:rPr>
        <w:t>P280</w:t>
      </w:r>
      <w:r>
        <w:t>，其核心目标是消除根源而非受限于股东回报、外部对齐或管理报告周期。因此，无论全面实施需要多长时间，以根本原因为导向的计划才是最佳选择。</w:t>
      </w:r>
    </w:p>
    <w:p>
      <w:pPr>
        <w:spacing w:before="120" w:after="40"/>
      </w:pPr>
      <w:r>
        <w:rPr>
          <w:b/>
          <w:sz w:val="21"/>
          <w:shd w:fill="D6E4F0" w:val="clear"/>
        </w:rPr>
        <w:t>教材原句：</w:t>
      </w:r>
    </w:p>
    <w:p>
      <w:pPr>
        <w:spacing w:line="360" w:lineRule="auto" w:after="40"/>
        <w:ind w:firstLine="420"/>
      </w:pPr>
      <w:r>
        <w:t>"The organization must analyze and correct the root cause of the error to avoid recurrence."</w:t>
      </w:r>
    </w:p>
    <w:p>
      <w:pPr>
        <w:spacing w:before="120" w:after="40"/>
      </w:pPr>
      <w:r>
        <w:rPr>
          <w:b/>
          <w:sz w:val="21"/>
          <w:shd w:fill="D6E4F0" w:val="clear"/>
        </w:rPr>
        <w:t>A项错误：</w:t>
      </w:r>
    </w:p>
    <w:p>
      <w:pPr>
        <w:spacing w:line="360" w:lineRule="auto" w:after="40"/>
        <w:ind w:firstLine="420"/>
      </w:pPr>
      <w:r>
        <w:t>“股东价值最大化”和“无需新增投资”是商业考量，而教材要求董事会确保合规职能有“adequate resources”</w:t>
      </w:r>
      <w:r>
        <w:rPr>
          <w:sz w:val="15"/>
          <w:vertAlign w:val="superscript"/>
        </w:rPr>
        <w:t>P259</w:t>
      </w:r>
      <w:r>
        <w:t>。题干是审计缺陷补救，商业回报门槛不如解决合规缺陷的根源直接。</w:t>
      </w:r>
    </w:p>
    <w:p>
      <w:pPr>
        <w:spacing w:before="120" w:after="40"/>
      </w:pPr>
      <w:r>
        <w:rPr>
          <w:b/>
          <w:sz w:val="21"/>
          <w:shd w:fill="D6E4F0" w:val="clear"/>
        </w:rPr>
        <w:t>B项错误：</w:t>
      </w:r>
    </w:p>
    <w:p>
      <w:pPr>
        <w:spacing w:line="360" w:lineRule="auto" w:after="40"/>
        <w:ind w:firstLine="420"/>
      </w:pPr>
      <w:r>
        <w:t>教材提到机构应制定符合金融情报机构要求的可疑活动报告政策</w:t>
      </w:r>
      <w:r>
        <w:rPr>
          <w:sz w:val="15"/>
          <w:vertAlign w:val="superscript"/>
        </w:rPr>
        <w:t>P353</w:t>
      </w:r>
      <w:r>
        <w:t>，但这是关于提交SAR的程序要求，并非解决内部审计缺陷的通用最佳实践。审计缺陷是机构自身控制问题，其纠正计划的制定主体和依据都更直接指向内部根本原因分析，而非与外部金融情报机构对齐。</w:t>
      </w:r>
    </w:p>
    <w:p>
      <w:pPr>
        <w:spacing w:before="120" w:after="40"/>
      </w:pPr>
      <w:r>
        <w:rPr>
          <w:b/>
          <w:sz w:val="21"/>
          <w:shd w:fill="D6E4F0" w:val="clear"/>
        </w:rPr>
        <w:t>C项错误：</w:t>
      </w:r>
    </w:p>
    <w:p>
      <w:pPr>
        <w:spacing w:line="360" w:lineRule="auto" w:after="40"/>
        <w:ind w:firstLine="420"/>
      </w:pPr>
      <w:r>
        <w:t>教材在论述运营有效性时提到，月度控制至少需要三到六个月的数据来判断是否有效运行</w:t>
      </w:r>
      <w:r>
        <w:rPr>
          <w:sz w:val="15"/>
          <w:vertAlign w:val="superscript"/>
        </w:rPr>
        <w:t>P279</w:t>
      </w:r>
      <w:r>
        <w:t>，这表明评估和纠正缺陷本身就可能需要超过三个月。把行动计划强行限制在三个月的报告周期内，与教材所暗示的“控制需要运行足够长时间”的理念不直接吻合，无法保证解决根本原因。</w:t>
      </w:r>
    </w:p>
    <w:p>
      <w:pPr>
        <w:spacing w:line="360" w:lineRule="auto" w:after="120"/>
      </w:pPr>
      <w:r/>
    </w:p>
    <w:p>
      <w:pPr>
        <w:spacing w:line="360" w:lineRule="auto" w:after="40"/>
      </w:pPr>
      <w:r>
        <w:t>5. A client advisor at a bank contacts a member of the compliance team for guidance on how to proceed with a client who wants to transfer US$250,000 from the sale of cryptoassets into their savings account at the bank. What guidance should the compliance team provide?</w:t>
      </w:r>
    </w:p>
    <w:p>
      <w:pPr>
        <w:spacing w:line="360" w:lineRule="auto" w:after="20"/>
        <w:ind w:firstLine="283"/>
      </w:pPr>
      <w:r>
        <w:t>A. Advise that further clarification is necessary, including which coins or tokens were sold and whether the crypto exchange conducts due diligence on its clients</w:t>
      </w:r>
    </w:p>
    <w:p>
      <w:pPr>
        <w:spacing w:line="360" w:lineRule="auto" w:after="20"/>
        <w:ind w:firstLine="283"/>
      </w:pPr>
      <w:r>
        <w:t>B. Advise that the transaction should be stopped because cryptoassets in general are not regulated and by definition pose an unacceptable AML risk for the bank</w:t>
      </w:r>
    </w:p>
    <w:p>
      <w:pPr>
        <w:spacing w:line="360" w:lineRule="auto" w:after="20"/>
        <w:ind w:firstLine="283"/>
      </w:pPr>
      <w:r>
        <w:t>C. Confirm to the advisor that the customer can proceed with the transaction if the customer's KYC information is up to date and a search on a public blockchain explorer does not identify any adverse media</w:t>
      </w:r>
    </w:p>
    <w:p>
      <w:pPr>
        <w:spacing w:line="360" w:lineRule="auto" w:after="20"/>
        <w:ind w:firstLine="283"/>
      </w:pPr>
      <w:r>
        <w:t>D. Confirm to the advisor that the customer can proceed with the transaction because the customer has properly completed the KYC process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加密资产交易的剩余风险评估与尽职调查启动</w:t>
      </w:r>
    </w:p>
    <w:p>
      <w:pPr>
        <w:spacing w:before="120" w:after="40"/>
      </w:pPr>
      <w:r>
        <w:rPr>
          <w:b/>
          <w:sz w:val="21"/>
          <w:shd w:fill="D6E4F0" w:val="clear"/>
        </w:rPr>
        <w:t>核心解析：</w:t>
      </w:r>
    </w:p>
    <w:p>
      <w:pPr>
        <w:spacing w:line="360" w:lineRule="auto" w:after="40"/>
        <w:ind w:firstLine="420"/>
      </w:pPr>
      <w:r>
        <w:t>剩余风险计算基于</w:t>
      </w:r>
      <w:r>
        <w:rPr>
          <w:b/>
        </w:rPr>
        <w:t>固有风险和控制有效性</w:t>
      </w:r>
      <w:r>
        <w:rPr>
          <w:sz w:val="15"/>
          <w:vertAlign w:val="superscript"/>
        </w:rPr>
        <w:t>P279</w:t>
      </w:r>
      <w:r>
        <w:t>。面对向银行转入加密资产出售所得的请求，合规官必须基于机构风险偏好决定是否接受该交易</w:t>
      </w:r>
      <w:r>
        <w:rPr>
          <w:sz w:val="15"/>
          <w:vertAlign w:val="superscript"/>
        </w:rPr>
        <w:t>P317</w:t>
      </w:r>
      <w:r>
        <w:t>。题干中，客户资金来自出售加密资产，而数字资产交易可能缺乏普遍接受的合规措施</w:t>
      </w:r>
      <w:r>
        <w:rPr>
          <w:sz w:val="15"/>
          <w:vertAlign w:val="superscript"/>
        </w:rPr>
        <w:t>P434</w:t>
      </w:r>
      <w:r>
        <w:t>，固有风险较高。此时银行并不掌握加密资产类型、出售平台（交易所）是否受监管等关键信息，无法评价现有控制措施是否足以将剩余风险降至可接受水平。由此可推断，最匹配教材逻辑的合规指导是：要求前线先进一步澄清这些信息缺口，以便</w:t>
      </w:r>
      <w:r>
        <w:rPr>
          <w:b/>
        </w:rPr>
        <w:t>评估剩余风险，再行决策</w:t>
      </w:r>
      <w:r>
        <w:t>。选项A强调“进一步澄清”加密资产类型及“该加密货币交易所是否对其客户进行尽职调查”，这正是在收集评估控制有效性的必要事实基础。</w:t>
      </w:r>
    </w:p>
    <w:p>
      <w:pPr>
        <w:spacing w:before="120" w:after="40"/>
      </w:pPr>
      <w:r>
        <w:rPr>
          <w:b/>
          <w:sz w:val="21"/>
          <w:shd w:fill="D6E4F0" w:val="clear"/>
        </w:rPr>
        <w:t>B项错误：</w:t>
      </w:r>
    </w:p>
    <w:p>
      <w:pPr>
        <w:spacing w:line="360" w:lineRule="auto" w:after="40"/>
        <w:ind w:firstLine="420"/>
      </w:pPr>
      <w:r>
        <w:t>教材指出，数字资产交易可以在校准监控后正常接受（如接受加密货币支付的餐厅案例）P445，并未要求“一刀切”停止。题干更支持先澄清信息评估剩余风险，而非直接断言风险“不可接受”。</w:t>
      </w:r>
    </w:p>
    <w:p>
      <w:pPr>
        <w:spacing w:before="120" w:after="40"/>
      </w:pPr>
      <w:r>
        <w:rPr>
          <w:b/>
          <w:sz w:val="21"/>
          <w:shd w:fill="D6E4F0" w:val="clear"/>
        </w:rPr>
        <w:t>C项错误：</w:t>
      </w:r>
    </w:p>
    <w:p>
      <w:pPr>
        <w:spacing w:line="360" w:lineRule="auto" w:after="40"/>
        <w:ind w:firstLine="420"/>
      </w:pPr>
      <w:r>
        <w:t>KYC最新且公开区块链浏览器无负面信息，并未覆盖交易对手方（加密交易所）的合规水平，而对手方尽职调查的缺失正是剩余风险评估中的核心缺陷</w:t>
      </w:r>
      <w:r>
        <w:rPr>
          <w:sz w:val="15"/>
          <w:vertAlign w:val="superscript"/>
        </w:rPr>
        <w:t>P279</w:t>
      </w:r>
      <w:r>
        <w:t>。仅凭客户侧KYC和链上公开搜索，不如A直接针对信息缺口要求澄清更匹配教材的剩余风险评估框架。</w:t>
      </w:r>
    </w:p>
    <w:p>
      <w:pPr>
        <w:spacing w:before="120" w:after="40"/>
      </w:pPr>
      <w:r>
        <w:rPr>
          <w:b/>
          <w:sz w:val="21"/>
          <w:shd w:fill="D6E4F0" w:val="clear"/>
        </w:rPr>
        <w:t>D项错误：</w:t>
      </w:r>
    </w:p>
    <w:p>
      <w:pPr>
        <w:spacing w:line="360" w:lineRule="auto" w:after="40"/>
        <w:ind w:firstLine="420"/>
      </w:pPr>
      <w:r>
        <w:t>完成传统KYC流程仅覆盖客户身份识别层面。教材强调，应进行触发事件审查，根据异常交易模式等重新评估风险状况</w:t>
      </w:r>
      <w:r>
        <w:rPr>
          <w:sz w:val="15"/>
          <w:vertAlign w:val="superscript"/>
        </w:rPr>
        <w:t>P358</w:t>
      </w:r>
      <w:r>
        <w:t>。25万美元的加密资产转入属于触发事件，仅凭“客户已正确完成KYC流程”即放行，不如A先澄清交易对手方和资产详情再进行评估更符合教材规定的持续反洗钱控制要求。</w:t>
      </w:r>
    </w:p>
    <w:p>
      <w:pPr>
        <w:spacing w:line="360" w:lineRule="auto" w:after="120"/>
      </w:pPr>
      <w:r/>
    </w:p>
    <w:p>
      <w:pPr>
        <w:spacing w:line="360" w:lineRule="auto" w:after="40"/>
      </w:pPr>
      <w:r>
        <w:t>6. An annual risk assessment includes inherent risk, effectiveness of controls, and residual risk. The inherent risk is assessed as "moderate," and the effectiveness of controls is "less than satisfactory." What would the residual risk conclusion most likely be?</w:t>
      </w:r>
    </w:p>
    <w:p>
      <w:pPr>
        <w:spacing w:line="360" w:lineRule="auto" w:after="20"/>
        <w:ind w:firstLine="283"/>
      </w:pPr>
      <w:r>
        <w:t>A. "Medium," because weak controls would result in the residual risk remaining unchanged</w:t>
      </w:r>
    </w:p>
    <w:p>
      <w:pPr>
        <w:spacing w:line="360" w:lineRule="auto" w:after="20"/>
        <w:ind w:firstLine="283"/>
      </w:pPr>
      <w:r>
        <w:t>B. "High," because weak controls would result in increased residual risk</w:t>
      </w:r>
    </w:p>
    <w:p>
      <w:pPr>
        <w:spacing w:line="360" w:lineRule="auto" w:after="20"/>
        <w:ind w:firstLine="283"/>
      </w:pPr>
      <w:r>
        <w:t>C. "Moderate," because the risk conclusions for specific areas may be increased</w:t>
      </w:r>
    </w:p>
    <w:p>
      <w:pPr>
        <w:spacing w:line="360" w:lineRule="auto" w:after="20"/>
        <w:ind w:firstLine="283"/>
      </w:pPr>
      <w:r>
        <w:t>D. "Low," because controls would lower the risk</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剩余风险的计算逻辑：固有风险与控制有效性之差</w:t>
      </w:r>
    </w:p>
    <w:p>
      <w:pPr>
        <w:spacing w:before="120" w:after="40"/>
      </w:pPr>
      <w:r>
        <w:rPr>
          <w:b/>
          <w:sz w:val="21"/>
          <w:shd w:fill="D6E4F0" w:val="clear"/>
        </w:rPr>
        <w:t>核心解析：</w:t>
      </w:r>
    </w:p>
    <w:p>
      <w:pPr>
        <w:spacing w:line="360" w:lineRule="auto" w:after="40"/>
        <w:ind w:firstLine="420"/>
      </w:pPr>
      <w:r>
        <w:t>教材给出的关系是</w:t>
      </w:r>
      <w:r>
        <w:rPr>
          <w:b/>
        </w:rPr>
        <w:t>“固有风险－控制有效性＝剩余风险”</w:t>
      </w:r>
      <w:r>
        <w:rPr>
          <w:sz w:val="15"/>
          <w:vertAlign w:val="superscript"/>
        </w:rPr>
        <w:t>P278</w:t>
      </w:r>
      <w:r>
        <w:t>。固有风险为“中等”而控制有效性“低于令人满意”，说明控制未能充分缓释已识别的风险，因此不能将剩余风险评为“低”。在题目给定的评级中，B项最能体现控制薄弱后仍保留较高风险的结果。但教材的公式本身不能单独推导出“高”这一具体等级；最终评级还取决于机构的风险评分矩阵和等级映射规则。</w:t>
      </w:r>
    </w:p>
    <w:p>
      <w:pPr>
        <w:spacing w:before="120" w:after="40"/>
      </w:pPr>
      <w:r>
        <w:rPr>
          <w:b/>
          <w:sz w:val="21"/>
          <w:shd w:fill="D6E4F0" w:val="clear"/>
        </w:rPr>
        <w:t>教材原句：</w:t>
      </w:r>
    </w:p>
    <w:p>
      <w:pPr>
        <w:spacing w:line="360" w:lineRule="auto" w:after="40"/>
        <w:ind w:firstLine="420"/>
      </w:pPr>
      <w:r>
        <w:t>"The formula for calculating residual risk is: inherent risk minus control effectiveness equals residual risk (inherent risk – control effectiveness = residual risk)."</w:t>
      </w:r>
    </w:p>
    <w:p>
      <w:pPr>
        <w:spacing w:before="120" w:after="40"/>
      </w:pPr>
      <w:r>
        <w:rPr>
          <w:b/>
          <w:sz w:val="21"/>
          <w:shd w:fill="D6E4F0" w:val="clear"/>
        </w:rPr>
        <w:t>A项错误：</w:t>
      </w:r>
    </w:p>
    <w:p>
      <w:pPr>
        <w:spacing w:line="360" w:lineRule="auto" w:after="40"/>
        <w:ind w:firstLine="420"/>
      </w:pPr>
      <w:r>
        <w:t>A项以“控制薄弱”直接推导出剩余风险必然“保持不变”。控制薄弱表明缓释作用不足，但具体评级仍需结合评分矩阵，不能由该条件直接得出“保持不变”。</w:t>
      </w:r>
    </w:p>
    <w:p>
      <w:pPr>
        <w:spacing w:before="120" w:after="40"/>
      </w:pPr>
      <w:r>
        <w:rPr>
          <w:b/>
          <w:sz w:val="21"/>
          <w:shd w:fill="D6E4F0" w:val="clear"/>
        </w:rPr>
        <w:t>C项错误：</w:t>
      </w:r>
    </w:p>
    <w:p>
      <w:pPr>
        <w:spacing w:line="360" w:lineRule="auto" w:after="40"/>
        <w:ind w:firstLine="420"/>
      </w:pPr>
      <w:r>
        <w:t>C项提到“特定区域的风险结论”，但题干询问的是本次年度评估的剩余风险，该理由没有直接解释控制有效性不足对这一结论的影响。</w:t>
      </w:r>
    </w:p>
    <w:p>
      <w:pPr>
        <w:spacing w:before="120" w:after="40"/>
      </w:pPr>
      <w:r>
        <w:rPr>
          <w:b/>
          <w:sz w:val="21"/>
          <w:shd w:fill="D6E4F0" w:val="clear"/>
        </w:rPr>
        <w:t>D项错误：</w:t>
      </w:r>
    </w:p>
    <w:p>
      <w:pPr>
        <w:spacing w:line="360" w:lineRule="auto" w:after="40"/>
        <w:ind w:firstLine="420"/>
      </w:pPr>
      <w:r>
        <w:t>选项D以“控制措施会降低风险”为由得出“低”。控制只有在有效时才能显著降低风险；题干已说明控制有效性低于令人满意，因此“低”与题干条件不符。</w:t>
      </w:r>
    </w:p>
    <w:p>
      <w:pPr>
        <w:spacing w:before="120" w:after="40"/>
      </w:pPr>
      <w:r>
        <w:rPr>
          <w:b/>
          <w:sz w:val="21"/>
          <w:shd w:fill="D6E4F0" w:val="clear"/>
        </w:rPr>
        <w:t>易错提醒：</w:t>
      </w:r>
    </w:p>
    <w:p>
      <w:pPr>
        <w:spacing w:line="360" w:lineRule="auto" w:after="40"/>
        <w:ind w:firstLine="420"/>
      </w:pPr>
      <w:r>
        <w:t>剩余风险是考虑控制措施后仍然存在的风险。控制薄弱意味着缓释作用有限，但并不意味着剩余风险在数学上高于固有风险。将评价映射为“高”、“中”或“低”时，还需遵循机构的风险评分矩阵。</w:t>
      </w:r>
    </w:p>
    <w:p>
      <w:pPr>
        <w:spacing w:line="360" w:lineRule="auto" w:after="120"/>
      </w:pPr>
      <w:r/>
    </w:p>
    <w:p>
      <w:pPr>
        <w:spacing w:line="360" w:lineRule="auto" w:after="40"/>
      </w:pPr>
      <w:r>
        <w:t>7. A financial institution is conducting an enterprise-wide risk assessment (EWRA) and has identified a high inherent risk of money laundering associated with its private banking division due to the clientele's high net worth and complex financial structures. However, the institution has implemented robust customer due diligence (CDD) and enhanced due diligence (EDD) procedures, along with sophisticated transaction monitoring systems. How would these controls impact the assessment of residual risk?</w:t>
      </w:r>
    </w:p>
    <w:p>
      <w:pPr>
        <w:spacing w:line="360" w:lineRule="auto" w:after="20"/>
        <w:ind w:firstLine="283"/>
      </w:pPr>
      <w:r>
        <w:t>A. The residual risk would be eliminated entirely because the controls are sufficient to mitigate all potential risks.</w:t>
      </w:r>
    </w:p>
    <w:p>
      <w:pPr>
        <w:spacing w:line="360" w:lineRule="auto" w:after="20"/>
        <w:ind w:firstLine="283"/>
      </w:pPr>
      <w:r>
        <w:t>B. The residual risk would be significantly reduced due to the effectiveness of the existing controls.</w:t>
      </w:r>
    </w:p>
    <w:p>
      <w:pPr>
        <w:spacing w:line="360" w:lineRule="auto" w:after="20"/>
        <w:ind w:firstLine="283"/>
      </w:pPr>
      <w:r>
        <w:t>C. The residual risk would remain high due to the inherent nature of private banking.</w:t>
      </w:r>
    </w:p>
    <w:p>
      <w:pPr>
        <w:spacing w:line="360" w:lineRule="auto" w:after="20"/>
        <w:ind w:firstLine="283"/>
      </w:pPr>
      <w:r>
        <w:t>D. The residual risk would be moderately reduced, but may still require further controls to reach an acceptable level.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根据控制有效性评估固有风险转化后的剩余风险</w:t>
      </w:r>
    </w:p>
    <w:p>
      <w:pPr>
        <w:spacing w:before="120" w:after="40"/>
      </w:pPr>
      <w:r>
        <w:rPr>
          <w:b/>
          <w:sz w:val="21"/>
          <w:shd w:fill="D6E4F0" w:val="clear"/>
        </w:rPr>
        <w:t>核心解析：</w:t>
      </w:r>
    </w:p>
    <w:p>
      <w:pPr>
        <w:spacing w:line="360" w:lineRule="auto" w:after="40"/>
        <w:ind w:firstLine="420"/>
      </w:pPr>
      <w:r>
        <w:t>教材将固有风险定义为实施任何缓解控制前的风险</w:t>
      </w:r>
      <w:r>
        <w:rPr>
          <w:sz w:val="15"/>
          <w:vertAlign w:val="superscript"/>
        </w:rPr>
        <w:t>P275</w:t>
      </w:r>
      <w:r>
        <w:t>，并以</w:t>
      </w:r>
      <w:r>
        <w:rPr>
          <w:b/>
        </w:rPr>
        <w:t>“固有风险 − 控制有效性 = 剩余风险”</w:t>
      </w:r>
      <w:r>
        <w:t>说明二者关系</w:t>
      </w:r>
      <w:r>
        <w:rPr>
          <w:sz w:val="15"/>
          <w:vertAlign w:val="superscript"/>
        </w:rPr>
        <w:t>P278</w:t>
      </w:r>
      <w:r>
        <w:t>。本题私人银行客户净值高、财务结构复杂，说明固有风险较高；但题干同时明确存在严格的CDD/EDD程序和先进交易监控系统，问题要求评价这些控制对剩余风险的影响，而不是重新评价私人银行业务的固有风险。</w:t>
      </w:r>
    </w:p>
    <w:p>
      <w:pPr>
        <w:spacing w:line="360" w:lineRule="auto" w:after="40"/>
        <w:ind w:firstLine="420"/>
      </w:pPr>
      <w:r>
        <w:t>教材进一步给出，高固有风险客户在EDD、资金来源/财富核实和持续监控等控制措施被评估为有效时，剩余风险可能降至中等或低水平</w:t>
      </w:r>
      <w:r>
        <w:rPr>
          <w:sz w:val="15"/>
          <w:vertAlign w:val="superscript"/>
        </w:rPr>
        <w:t>P278</w:t>
      </w:r>
      <w:r>
        <w:t>。因此，题干所说的“robust” CDD/EDD及“sophisticated”交易监控，支持</w:t>
      </w:r>
      <w:r>
        <w:rPr>
          <w:b/>
        </w:rPr>
        <w:t>控制有效性较高、剩余风险相对固有风险实质下降</w:t>
      </w:r>
      <w:r>
        <w:t>的判断。这里的“显著”是依据教材所举“高固有风险降至中或低”的情形作出的比较判断，并非声称风险被消除。</w:t>
      </w:r>
    </w:p>
    <w:p>
      <w:pPr>
        <w:spacing w:line="360" w:lineRule="auto" w:after="40"/>
        <w:ind w:firstLine="420"/>
      </w:pPr>
      <w:r>
        <w:t>综上，在给定选项中，B与题干和教材更符合：有效控制使剩余风险显著降低，但剩余风险仍应结合风险容忍度继续评估；若仍超出容忍度，再制定行动计划。</w:t>
      </w:r>
    </w:p>
    <w:p>
      <w:pPr>
        <w:spacing w:before="120" w:after="40"/>
      </w:pPr>
      <w:r>
        <w:rPr>
          <w:b/>
          <w:sz w:val="21"/>
          <w:shd w:fill="D6E4F0" w:val="clear"/>
        </w:rPr>
        <w:t>教材原句：</w:t>
      </w:r>
    </w:p>
    <w:p>
      <w:pPr>
        <w:spacing w:line="360" w:lineRule="auto" w:after="40"/>
        <w:ind w:firstLine="420"/>
      </w:pPr>
      <w:r>
        <w:t>"The formula for calculating residual risk is: inherent risk minus control effectiveness equals residual risk (inherent risk − control effectiveness = residual risk)."</w:t>
      </w:r>
      <w:r>
        <w:rPr>
          <w:sz w:val="15"/>
          <w:vertAlign w:val="superscript"/>
        </w:rPr>
        <w:t>P278</w:t>
      </w:r>
    </w:p>
    <w:p>
      <w:pPr>
        <w:spacing w:before="120" w:after="40"/>
      </w:pPr>
      <w:r>
        <w:rPr>
          <w:b/>
          <w:sz w:val="21"/>
          <w:shd w:fill="D6E4F0" w:val="clear"/>
        </w:rPr>
        <w:t>A项错误：</w:t>
      </w:r>
    </w:p>
    <w:p>
      <w:pPr>
        <w:spacing w:line="360" w:lineRule="auto" w:after="40"/>
        <w:ind w:firstLine="420"/>
      </w:pPr>
      <w:r>
        <w:t>控制措施的目标是将风险降低到可接受的剩余风险水平，而不是保证消除所有潜在风险。“完全消除”把风险降低绝对化，超出题干和教材支持范围。</w:t>
      </w:r>
    </w:p>
    <w:p>
      <w:pPr>
        <w:spacing w:before="120" w:after="40"/>
      </w:pPr>
      <w:r>
        <w:rPr>
          <w:b/>
          <w:sz w:val="21"/>
          <w:shd w:fill="D6E4F0" w:val="clear"/>
        </w:rPr>
        <w:t>C项错误：</w:t>
      </w:r>
    </w:p>
    <w:p>
      <w:pPr>
        <w:spacing w:line="360" w:lineRule="auto" w:after="40"/>
        <w:ind w:firstLine="420"/>
      </w:pPr>
      <w:r>
        <w:t>该项只根据私人银行业务的固有性质判断结果，忽略了题干明确给出的CDD/EDD和交易监控控制效果；教材说明控制有效性会影响固有风险转化后的剩余风险（P278-P279）。</w:t>
      </w:r>
    </w:p>
    <w:p>
      <w:pPr>
        <w:spacing w:before="120" w:after="40"/>
      </w:pPr>
      <w:r>
        <w:rPr>
          <w:b/>
          <w:sz w:val="21"/>
          <w:shd w:fill="D6E4F0" w:val="clear"/>
        </w:rPr>
        <w:t>D项错误：</w:t>
      </w:r>
    </w:p>
    <w:p>
      <w:pPr>
        <w:spacing w:line="360" w:lineRule="auto" w:after="40"/>
        <w:ind w:firstLine="420"/>
      </w:pPr>
      <w:r>
        <w:t>剩余风险确实可能还需进一步控制，但教材要求先根据剩余风险判断是否超出风险容忍度</w:t>
      </w:r>
      <w:r>
        <w:rPr>
          <w:sz w:val="15"/>
          <w:vertAlign w:val="superscript"/>
        </w:rPr>
        <w:t>P279</w:t>
      </w:r>
      <w:r>
        <w:t>。题干没有提供现有控制无效或剩余风险仍超出容忍度的事实；因此，“适度降低且仍需进一步控制”增加了未经给出的条件，匹配度不如B。</w:t>
      </w:r>
    </w:p>
    <w:p>
      <w:pPr>
        <w:spacing w:before="120" w:after="40"/>
      </w:pPr>
      <w:r>
        <w:rPr>
          <w:b/>
          <w:sz w:val="21"/>
          <w:shd w:fill="D6E4F0" w:val="clear"/>
        </w:rPr>
        <w:t>易错提醒：</w:t>
      </w:r>
    </w:p>
    <w:p>
      <w:pPr>
        <w:spacing w:line="360" w:lineRule="auto" w:after="40"/>
        <w:ind w:firstLine="420"/>
      </w:pPr>
      <w:r>
        <w:t>固有风险是控制措施实施前的原始风险敞口</w:t>
      </w:r>
      <w:r>
        <w:rPr>
          <w:sz w:val="15"/>
          <w:vertAlign w:val="superscript"/>
        </w:rPr>
        <w:t>P275</w:t>
      </w:r>
      <w:r>
        <w:t>，剩余风险是应用控制措施后残余的风险</w:t>
      </w:r>
      <w:r>
        <w:rPr>
          <w:sz w:val="15"/>
          <w:vertAlign w:val="superscript"/>
        </w:rPr>
        <w:t>P278</w:t>
      </w:r>
      <w:r>
        <w:t>。不要把“风险显著降低”偷换成“风险完全消除”；是否需要进一步控制，还要看剩余风险是否超出风险容忍度</w:t>
      </w:r>
      <w:r>
        <w:rPr>
          <w:sz w:val="15"/>
          <w:vertAlign w:val="superscript"/>
        </w:rPr>
        <w:t>P279</w:t>
      </w:r>
      <w:r>
        <w:t>。</w:t>
      </w:r>
    </w:p>
    <w:p>
      <w:pPr>
        <w:spacing w:line="360" w:lineRule="auto" w:after="120"/>
      </w:pPr>
      <w:r/>
    </w:p>
    <w:p>
      <w:pPr>
        <w:spacing w:line="360" w:lineRule="auto" w:after="40"/>
      </w:pPr>
      <w:r>
        <w:t>8. Which risk factors should a financial institution (FI) examine for a new corporate customer intending to open a new bank account? (Select three.)</w:t>
      </w:r>
    </w:p>
    <w:p>
      <w:pPr>
        <w:spacing w:line="360" w:lineRule="auto" w:after="20"/>
        <w:ind w:firstLine="283"/>
      </w:pPr>
      <w:r>
        <w:t>A. All the financial institutions where the new customer currently banks or banked previously.</w:t>
      </w:r>
    </w:p>
    <w:p>
      <w:pPr>
        <w:spacing w:line="360" w:lineRule="auto" w:after="20"/>
        <w:ind w:firstLine="283"/>
      </w:pPr>
      <w:r>
        <w:t>B. The type of business the corporate customer is engaged in.</w:t>
      </w:r>
    </w:p>
    <w:p>
      <w:pPr>
        <w:spacing w:line="360" w:lineRule="auto" w:after="20"/>
        <w:ind w:firstLine="283"/>
      </w:pPr>
      <w:r>
        <w:t>C. The employment profiles and information of all employees of the new customer.</w:t>
      </w:r>
    </w:p>
    <w:p>
      <w:pPr>
        <w:spacing w:line="360" w:lineRule="auto" w:after="20"/>
        <w:ind w:firstLine="283"/>
      </w:pPr>
      <w:r>
        <w:t>D. The country or location where the customer is from or conducts business.</w:t>
      </w:r>
    </w:p>
    <w:p>
      <w:pPr>
        <w:spacing w:line="360" w:lineRule="auto" w:after="20"/>
        <w:ind w:firstLine="283"/>
      </w:pPr>
      <w:r>
        <w:t>E. The identity of senior managing officials and all individuals authorized to operate the account.</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企业客户开户时CDD风险因素审查的核心维度</w:t>
      </w:r>
    </w:p>
    <w:p>
      <w:pPr>
        <w:spacing w:before="120" w:after="40"/>
      </w:pPr>
      <w:r>
        <w:rPr>
          <w:b/>
          <w:sz w:val="21"/>
          <w:shd w:fill="D6E4F0" w:val="clear"/>
        </w:rPr>
        <w:t>核心解析：</w:t>
      </w:r>
    </w:p>
    <w:p>
      <w:pPr>
        <w:spacing w:line="360" w:lineRule="auto" w:after="40"/>
        <w:ind w:firstLine="420"/>
      </w:pPr>
      <w:r>
        <w:t>教材在阐述客户风险评级时列出</w:t>
      </w:r>
      <w:r>
        <w:rPr>
          <w:b/>
        </w:rPr>
        <w:t>行业、交易量、腐败指数和地理位置</w:t>
      </w:r>
      <w:r>
        <w:t>，因此B“业务类型”和D“国家或地区”属于直接影响客户风险评级的因素</w:t>
      </w:r>
      <w:r>
        <w:rPr>
          <w:sz w:val="15"/>
          <w:vertAlign w:val="superscript"/>
        </w:rPr>
        <w:t>P275</w:t>
      </w:r>
      <w:r>
        <w:t>。E的性质略有不同：它不是风险高低指标，而是法人客户开户CDD中的身份核实要求；教材要求验证董事、高级管理层和授权签字人，与选项所述高级管理人员及获授权操作账户者直接对应</w:t>
      </w:r>
      <w:r>
        <w:rPr>
          <w:sz w:val="15"/>
          <w:vertAlign w:val="superscript"/>
        </w:rPr>
        <w:t>P311</w:t>
      </w:r>
      <w:r>
        <w:t>。题干将风险审查和开户CDD要素合并询问，因而B、D、E是三个最符合教材的选项。</w:t>
      </w:r>
    </w:p>
    <w:p>
      <w:pPr>
        <w:spacing w:before="120" w:after="40"/>
      </w:pPr>
      <w:r>
        <w:rPr>
          <w:b/>
          <w:sz w:val="21"/>
          <w:shd w:fill="D6E4F0" w:val="clear"/>
        </w:rPr>
        <w:t>教材原句：</w:t>
      </w:r>
    </w:p>
    <w:p>
      <w:pPr>
        <w:spacing w:line="360" w:lineRule="auto" w:after="40"/>
        <w:ind w:firstLine="420"/>
      </w:pPr>
      <w:r>
        <w:t>"For customers, risk rating generally considers their industry, transaction volume, corruption index, and geographic location."</w:t>
      </w:r>
      <w:r>
        <w:rPr>
          <w:sz w:val="15"/>
          <w:vertAlign w:val="superscript"/>
        </w:rPr>
        <w:t>P275</w:t>
      </w:r>
    </w:p>
    <w:p>
      <w:pPr>
        <w:spacing w:before="120" w:after="40"/>
      </w:pPr>
      <w:r>
        <w:rPr>
          <w:b/>
          <w:sz w:val="21"/>
          <w:shd w:fill="D6E4F0" w:val="clear"/>
        </w:rPr>
        <w:t>A项错误：</w:t>
      </w:r>
    </w:p>
    <w:p>
      <w:pPr>
        <w:spacing w:line="360" w:lineRule="auto" w:after="40"/>
        <w:ind w:firstLine="420"/>
      </w:pPr>
      <w:r>
        <w:t>选项要求审查客户“所有”当前及以往往来的金融机构，范围过宽。法人客户开户审查的重点是客户自身的身份、业务、地理风险以及所有权和账户操作人员，而不是穷尽其全部历史银行关系，因此A不如B、D、E匹配。</w:t>
      </w:r>
    </w:p>
    <w:p>
      <w:pPr>
        <w:spacing w:before="120" w:after="40"/>
      </w:pPr>
      <w:r>
        <w:rPr>
          <w:b/>
          <w:sz w:val="21"/>
          <w:shd w:fill="D6E4F0" w:val="clear"/>
        </w:rPr>
        <w:t>C项错误：</w:t>
      </w:r>
    </w:p>
    <w:p>
      <w:pPr>
        <w:spacing w:line="360" w:lineRule="auto" w:after="40"/>
        <w:ind w:firstLine="420"/>
      </w:pPr>
      <w:r>
        <w:t>教材对自然人客户列有就业和收入信息</w:t>
      </w:r>
      <w:r>
        <w:rPr>
          <w:sz w:val="15"/>
          <w:vertAlign w:val="superscript"/>
        </w:rPr>
        <w:t>P309</w:t>
      </w:r>
      <w:r>
        <w:t>；法人客户则要求核实董事、高级管理层和授权签字人等相关人员</w:t>
      </w:r>
      <w:r>
        <w:rPr>
          <w:sz w:val="15"/>
          <w:vertAlign w:val="superscript"/>
        </w:rPr>
        <w:t>P311</w:t>
      </w:r>
      <w:r>
        <w:t>。选项C把范围扩大到新客户的“所有员工”，既不是企业风险评级因素，也超出了这里列出的法人身份核实对象；E与法人开户CDD要求更直接对应。</w:t>
      </w:r>
    </w:p>
    <w:p>
      <w:pPr>
        <w:spacing w:before="120" w:after="40"/>
      </w:pPr>
      <w:r>
        <w:rPr>
          <w:b/>
          <w:sz w:val="21"/>
          <w:shd w:fill="D6E4F0" w:val="clear"/>
        </w:rPr>
        <w:t>易错提醒：</w:t>
      </w:r>
    </w:p>
    <w:p>
      <w:pPr>
        <w:spacing w:line="360" w:lineRule="auto" w:after="40"/>
        <w:ind w:firstLine="420"/>
      </w:pPr>
      <w:r>
        <w:t>自然人客户资料可以包括就业和收入信息</w:t>
      </w:r>
      <w:r>
        <w:rPr>
          <w:sz w:val="15"/>
          <w:vertAlign w:val="superscript"/>
        </w:rPr>
        <w:t>P309</w:t>
      </w:r>
      <w:r>
        <w:t>；法人客户CDD则需要核实法人本身及与其控制、管理或账户操作有关的人员</w:t>
      </w:r>
      <w:r>
        <w:rPr>
          <w:sz w:val="15"/>
          <w:vertAlign w:val="superscript"/>
        </w:rPr>
        <w:t>P311</w:t>
      </w:r>
      <w:r>
        <w:t>。本题引用的教材条目直接列出董事、高级管理层和授权签字人，并不要求收集全体员工资料。这里不能把“无需审查所有员工”扩大解释为法人CDD只核实高管和授权签字人。</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